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highlight w:val="none"/>
        </w:rPr>
      </w:pPr>
      <w:r>
        <w:rPr>
          <w:rFonts w:ascii="Times New Roman"/>
          <w:highlight w:val="none"/>
        </w:rPr>
        <w:t>ICS</w:t>
      </w:r>
      <w:r>
        <w:rPr>
          <w:rFonts w:hint="eastAsia"/>
          <w:highlight w:val="none"/>
        </w:rPr>
        <w:t> 03.060</w:t>
      </w:r>
    </w:p>
    <w:p>
      <w:pPr>
        <w:pStyle w:val="18"/>
        <w:rPr>
          <w:rFonts w:hint="eastAsia"/>
          <w:highlight w:val="none"/>
        </w:rPr>
      </w:pPr>
      <w:bookmarkStart w:id="0" w:name="WXFLH"/>
      <w:r>
        <w:rPr>
          <w:rFonts w:hint="eastAsia"/>
          <w:highlight w:val="none"/>
        </w:rPr>
        <w:t>A11</w:t>
      </w:r>
      <w:bookmarkEnd w:id="0"/>
    </w:p>
    <w:p>
      <w:pPr>
        <w:pStyle w:val="19"/>
        <w:rPr>
          <w:rFonts w:hint="default" w:eastAsia="宋体"/>
          <w:highlight w:val="none"/>
          <w:lang w:val="en-US" w:eastAsia="zh-CN"/>
        </w:rPr>
      </w:pPr>
      <w:r>
        <w:rPr>
          <w:rFonts w:hint="eastAsia"/>
          <w:highlight w:val="none"/>
        </w:rPr>
        <w:t>Q/</w:t>
      </w:r>
      <w:r>
        <w:rPr>
          <w:rFonts w:hint="eastAsia"/>
          <w:highlight w:val="none"/>
          <w:lang w:val="en-US" w:eastAsia="zh-CN"/>
        </w:rPr>
        <w:t>BOR</w:t>
      </w:r>
    </w:p>
    <w:p>
      <w:pPr>
        <w:pStyle w:val="21"/>
        <w:rPr>
          <w:rFonts w:hint="eastAsia"/>
          <w:highlight w:val="none"/>
        </w:rPr>
      </w:pPr>
      <w:bookmarkStart w:id="1" w:name="c6"/>
      <w:r>
        <w:rPr>
          <w:rFonts w:hint="eastAsia"/>
          <w:highlight w:val="none"/>
          <w:lang w:eastAsia="zh-CN"/>
        </w:rPr>
        <w:t>日照银行</w:t>
      </w:r>
      <w:bookmarkEnd w:id="1"/>
      <w:r>
        <w:rPr>
          <w:rFonts w:hint="eastAsia"/>
          <w:highlight w:val="none"/>
          <w:lang w:eastAsia="zh-CN"/>
        </w:rPr>
        <w:t>股份有限公司</w:t>
      </w:r>
      <w:r>
        <w:rPr>
          <w:rFonts w:hint="eastAsia"/>
          <w:highlight w:val="none"/>
        </w:rPr>
        <w:t>企业标准</w:t>
      </w:r>
    </w:p>
    <w:p>
      <w:pPr>
        <w:pStyle w:val="22"/>
        <w:rPr>
          <w:rFonts w:hint="default" w:hAnsi="黑体" w:eastAsia="黑体" w:cs="黑体"/>
          <w:highlight w:val="none"/>
          <w:lang w:val="en-US" w:eastAsia="zh-CN"/>
        </w:rPr>
      </w:pPr>
      <w:r>
        <w:rPr>
          <w:rFonts w:hint="eastAsia" w:ascii="Times New Roman"/>
          <w:highlight w:val="none"/>
        </w:rPr>
        <w:t>Q/</w:t>
      </w:r>
      <w:r>
        <w:rPr>
          <w:rFonts w:hint="eastAsia" w:ascii="Times New Roman"/>
          <w:highlight w:val="none"/>
          <w:lang w:val="en-US" w:eastAsia="zh-CN"/>
        </w:rPr>
        <w:t>BOR</w:t>
      </w:r>
      <w:r>
        <w:rPr>
          <w:rFonts w:hint="eastAsia" w:ascii="Times New Roman"/>
          <w:highlight w:val="none"/>
        </w:rPr>
        <w:t xml:space="preserve"> </w:t>
      </w:r>
      <w:r>
        <w:rPr>
          <w:rFonts w:hint="eastAsia" w:ascii="Times New Roman"/>
          <w:highlight w:val="none"/>
          <w:lang w:val="en-US" w:eastAsia="zh-CN"/>
        </w:rPr>
        <w:t>0006</w:t>
      </w:r>
      <w:r>
        <w:rPr>
          <w:rFonts w:hint="eastAsia" w:ascii="Times New Roman"/>
          <w:highlight w:val="none"/>
        </w:rPr>
        <w:t>—20</w:t>
      </w:r>
      <w:r>
        <w:rPr>
          <w:rFonts w:hint="eastAsia" w:ascii="Times New Roman"/>
          <w:highlight w:val="none"/>
          <w:lang w:val="en-US" w:eastAsia="zh-CN"/>
        </w:rPr>
        <w:t>23</w:t>
      </w:r>
    </w:p>
    <w:p>
      <w:pPr>
        <w:pStyle w:val="23"/>
        <w:rPr>
          <w:rFonts w:hint="eastAsia" w:hAnsi="黑体" w:cs="黑体"/>
          <w:highlight w:val="none"/>
        </w:rPr>
      </w:pPr>
    </w:p>
    <w:p>
      <w:pPr>
        <w:pStyle w:val="22"/>
        <w:rPr>
          <w:rFonts w:hint="eastAsia" w:hAnsi="黑体" w:cs="黑体"/>
          <w:highlight w:val="none"/>
        </w:rPr>
      </w:pPr>
    </w:p>
    <w:p>
      <w:pPr>
        <w:pStyle w:val="22"/>
        <w:rPr>
          <w:rFonts w:hint="eastAsia" w:hAnsi="黑体" w:cs="黑体"/>
          <w:highlight w:val="none"/>
        </w:rPr>
      </w:pPr>
    </w:p>
    <w:p>
      <w:pPr>
        <w:pStyle w:val="24"/>
        <w:rPr>
          <w:rFonts w:hint="default" w:ascii="黑体"/>
          <w:highlight w:val="none"/>
          <w:lang w:val="en-US" w:eastAsia="zh-CN"/>
        </w:rPr>
      </w:pPr>
      <w:r>
        <w:rPr>
          <w:rFonts w:hint="eastAsia" w:ascii="黑体"/>
          <w:highlight w:val="none"/>
          <w:lang w:val="en-US" w:eastAsia="zh-CN"/>
        </w:rPr>
        <mc:AlternateContent>
          <mc:Choice Requires="wps">
            <w:drawing>
              <wp:anchor distT="0" distB="0" distL="114300" distR="114300" simplePos="0" relativeHeight="251659264" behindDoc="0" locked="1" layoutInCell="1" allowOverlap="1">
                <wp:simplePos x="0" y="0"/>
                <wp:positionH relativeFrom="column">
                  <wp:posOffset>-11430</wp:posOffset>
                </wp:positionH>
                <wp:positionV relativeFrom="page">
                  <wp:posOffset>9253220</wp:posOffset>
                </wp:positionV>
                <wp:extent cx="6121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1400" cy="63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0.9pt;margin-top:728.6pt;height:0.05pt;width:482pt;mso-position-vertical-relative:page;z-index:251659264;mso-width-relative:page;mso-height-relative:page;" filled="f" stroked="t" coordsize="21600,21600" o:gfxdata="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8/VRtkAAAAMAQAADwAAAAAAAAABACAAAAAiAAAAZHJzL2Rvd25y&#10;ZXYueG1sUEsBAhQAFAAAAAgAh07iQLkV8ab9AQAA4wMAAA4AAAAAAAAAAQAgAAAAKAEAAGRycy9l&#10;Mm9Eb2MueG1sUEsFBgAAAAAGAAYAWQEAAJcFAAAAAA==&#10;">
                <v:fill on="f" focussize="0,0"/>
                <v:stroke color="#457BBA" joinstyle="round"/>
                <v:imagedata o:title=""/>
                <o:lock v:ext="edit" aspectratio="f"/>
                <w10:anchorlock/>
              </v:line>
            </w:pict>
          </mc:Fallback>
        </mc:AlternateContent>
      </w:r>
      <w:r>
        <w:rPr>
          <w:rFonts w:hint="eastAsia" w:ascii="黑体"/>
          <w:highlight w:val="none"/>
          <w:lang w:val="en-US" w:eastAsia="zh-CN"/>
        </w:rPr>
        <w:t>2023 - 08 - 30发布</w:t>
      </w:r>
    </w:p>
    <w:p>
      <w:pPr>
        <w:pStyle w:val="26"/>
        <w:rPr>
          <w:rFonts w:hint="eastAsia" w:ascii="黑体" w:hAnsi="Times New Roman" w:eastAsia="黑体" w:cs="Times New Roman"/>
          <w:sz w:val="28"/>
          <w:highlight w:val="none"/>
          <w:lang w:val="en-US" w:eastAsia="zh-CN" w:bidi="ar-SA"/>
        </w:rPr>
      </w:pPr>
      <w:r>
        <w:rPr>
          <w:rFonts w:hint="eastAsia" w:ascii="黑体" w:hAnsi="Times New Roman" w:eastAsia="黑体" w:cs="Times New Roman"/>
          <w:sz w:val="28"/>
          <w:highlight w:val="none"/>
          <w:lang w:val="en-US" w:eastAsia="zh-CN" w:bidi="ar-SA"/>
        </w:rPr>
        <w:t xml:space="preserve">2023 - </w:t>
      </w:r>
      <w:r>
        <w:rPr>
          <w:rFonts w:hint="eastAsia" w:ascii="黑体" w:cs="Times New Roman"/>
          <w:sz w:val="28"/>
          <w:highlight w:val="none"/>
          <w:lang w:val="en-US" w:eastAsia="zh-CN" w:bidi="ar-SA"/>
        </w:rPr>
        <w:t>0</w:t>
      </w:r>
      <w:r>
        <w:rPr>
          <w:rFonts w:hint="eastAsia" w:ascii="黑体" w:hAnsi="Times New Roman" w:eastAsia="黑体" w:cs="Times New Roman"/>
          <w:sz w:val="28"/>
          <w:highlight w:val="none"/>
          <w:lang w:val="en-US" w:eastAsia="zh-CN" w:bidi="ar-SA"/>
        </w:rPr>
        <w:t>8 - 3</w:t>
      </w:r>
      <w:r>
        <w:rPr>
          <w:rFonts w:hint="eastAsia" w:ascii="黑体" w:cs="Times New Roman"/>
          <w:sz w:val="28"/>
          <w:highlight w:val="none"/>
          <w:lang w:val="en-US" w:eastAsia="zh-CN" w:bidi="ar-SA"/>
        </w:rPr>
        <w:t>0</w:t>
      </w:r>
      <w:r>
        <w:rPr>
          <w:rFonts w:hint="eastAsia" w:ascii="黑体" w:hAnsi="Times New Roman" w:eastAsia="黑体" w:cs="Times New Roman"/>
          <w:sz w:val="28"/>
          <w:highlight w:val="none"/>
          <w:lang w:val="en-US" w:eastAsia="zh-CN" w:bidi="ar-SA"/>
        </w:rPr>
        <w:t>实施</w:t>
      </w:r>
    </w:p>
    <w:p>
      <w:pPr>
        <w:pStyle w:val="28"/>
        <w:rPr>
          <w:rFonts w:hint="eastAsia"/>
          <w:highlight w:val="none"/>
        </w:rPr>
      </w:pPr>
      <w:r>
        <w:rPr>
          <w:rFonts w:hint="eastAsia"/>
          <w:highlight w:val="none"/>
          <w:lang w:eastAsia="zh-CN"/>
        </w:rPr>
        <w:t>日照银行股份有限公司</w:t>
      </w:r>
      <w:r>
        <w:rPr>
          <w:rFonts w:hint="eastAsia"/>
          <w:highlight w:val="none"/>
          <w:lang w:val="en-US" w:eastAsia="zh-CN"/>
        </w:rPr>
        <w:t xml:space="preserve">  </w:t>
      </w:r>
      <w:r>
        <w:rPr>
          <w:rStyle w:val="31"/>
          <w:rFonts w:hint="eastAsia" w:hAnsi="Times New Roman" w:cs="Times New Roman"/>
          <w:highlight w:val="none"/>
          <w:lang w:eastAsia="zh-CN"/>
        </w:rPr>
        <w:t>发</w:t>
      </w:r>
      <w:r>
        <w:rPr>
          <w:rStyle w:val="31"/>
          <w:rFonts w:hint="eastAsia" w:hAnsi="Times New Roman" w:cs="Times New Roman"/>
          <w:highlight w:val="none"/>
        </w:rPr>
        <w:t>布</w:t>
      </w:r>
    </w:p>
    <w:p>
      <w:pPr>
        <w:rPr>
          <w:rFonts w:hint="default" w:ascii="Times New Roman" w:hAnsi="Times New Roman" w:cs="Times New Roman"/>
          <w:sz w:val="21"/>
          <w:szCs w:val="21"/>
          <w:lang w:val="en-US" w:eastAsia="zh-CN"/>
        </w:rPr>
      </w:pPr>
    </w:p>
    <w:p>
      <w:pPr>
        <w:jc w:val="center"/>
        <w:rPr>
          <w:rFonts w:hint="default" w:ascii="Times New Roman" w:hAnsi="Times New Roman" w:eastAsia="黑体" w:cs="Times New Roman"/>
          <w:sz w:val="44"/>
          <w:szCs w:val="44"/>
          <w:lang w:val="en-US" w:eastAsia="zh-CN"/>
        </w:rPr>
      </w:pPr>
    </w:p>
    <w:p>
      <w:pPr>
        <w:pStyle w:val="2"/>
        <w:rPr>
          <w:rFonts w:ascii="黑体"/>
          <w:sz w:val="20"/>
          <w:lang w:eastAsia="zh-CN"/>
        </w:rPr>
      </w:pPr>
    </w:p>
    <w:p>
      <w:pPr>
        <w:pStyle w:val="2"/>
        <w:rPr>
          <w:rFonts w:ascii="黑体"/>
          <w:sz w:val="20"/>
          <w:lang w:eastAsia="zh-CN"/>
        </w:rPr>
      </w:pPr>
    </w:p>
    <w:p>
      <w:pPr>
        <w:framePr w:w="9431" w:h="4781" w:hSpace="180" w:wrap="around" w:vAnchor="text" w:hAnchor="page" w:x="1454" w:y="157"/>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eastAsia="zh-CN"/>
        </w:rPr>
        <w:t>日照银行</w:t>
      </w:r>
      <w:r>
        <w:rPr>
          <w:rFonts w:hint="eastAsia" w:ascii="黑体" w:hAnsi="黑体" w:eastAsia="黑体"/>
          <w:sz w:val="52"/>
          <w:szCs w:val="52"/>
          <w:highlight w:val="none"/>
          <w:lang w:val="en-US" w:eastAsia="zh-CN"/>
        </w:rPr>
        <w:t>智慧金融服务安全管理标准</w:t>
      </w:r>
    </w:p>
    <w:p>
      <w:pPr>
        <w:framePr w:w="9431" w:h="4781" w:hSpace="180" w:wrap="around" w:vAnchor="text" w:hAnchor="page" w:x="1454" w:y="157"/>
        <w:jc w:val="center"/>
        <w:rPr>
          <w:rFonts w:hint="eastAsia" w:ascii="黑体" w:hAnsi="黑体" w:eastAsia="黑体"/>
          <w:sz w:val="28"/>
          <w:szCs w:val="28"/>
          <w:highlight w:val="none"/>
        </w:rPr>
      </w:pPr>
      <w:r>
        <w:rPr>
          <w:rFonts w:hint="eastAsia" w:ascii="黑体" w:hAnsi="黑体" w:eastAsia="黑体"/>
          <w:sz w:val="28"/>
          <w:szCs w:val="28"/>
          <w:highlight w:val="none"/>
        </w:rPr>
        <w:t xml:space="preserve">Service </w:t>
      </w:r>
      <w:r>
        <w:rPr>
          <w:rFonts w:hint="eastAsia" w:ascii="黑体" w:hAnsi="黑体" w:eastAsia="黑体"/>
          <w:sz w:val="28"/>
          <w:szCs w:val="28"/>
          <w:highlight w:val="none"/>
          <w:lang w:val="en-US" w:eastAsia="zh-CN"/>
        </w:rPr>
        <w:t xml:space="preserve">Security Management </w:t>
      </w:r>
      <w:r>
        <w:rPr>
          <w:rFonts w:hint="eastAsia" w:ascii="黑体" w:hAnsi="黑体" w:eastAsia="黑体"/>
          <w:sz w:val="28"/>
          <w:szCs w:val="28"/>
          <w:highlight w:val="none"/>
        </w:rPr>
        <w:t xml:space="preserve">Standards of </w:t>
      </w:r>
      <w:r>
        <w:rPr>
          <w:rFonts w:hint="eastAsia" w:ascii="黑体" w:hAnsi="黑体" w:eastAsia="黑体"/>
          <w:sz w:val="28"/>
          <w:szCs w:val="28"/>
          <w:highlight w:val="none"/>
          <w:lang w:val="en-US" w:eastAsia="zh-CN"/>
        </w:rPr>
        <w:t>Smart Finance</w:t>
      </w:r>
      <w:r>
        <w:rPr>
          <w:rFonts w:hint="eastAsia" w:ascii="黑体" w:hAnsi="黑体" w:eastAsia="黑体"/>
          <w:sz w:val="28"/>
          <w:szCs w:val="28"/>
          <w:highlight w:val="none"/>
        </w:rPr>
        <w:t xml:space="preserve"> of Bank of Rizhao</w:t>
      </w:r>
    </w:p>
    <w:p>
      <w:pPr>
        <w:pStyle w:val="2"/>
        <w:rPr>
          <w:rFonts w:ascii="黑体"/>
          <w:sz w:val="20"/>
          <w:lang w:eastAsia="zh-CN"/>
        </w:rPr>
      </w:pPr>
      <w:r>
        <w:rPr>
          <w:rFonts w:hint="eastAsia" w:ascii="黑体"/>
          <w:highlight w:val="none"/>
          <w:lang w:val="en-US" w:eastAsia="zh-CN"/>
        </w:rPr>
        <mc:AlternateContent>
          <mc:Choice Requires="wps">
            <w:drawing>
              <wp:anchor distT="0" distB="0" distL="114300" distR="114300" simplePos="0" relativeHeight="251660288" behindDoc="0" locked="1" layoutInCell="1" allowOverlap="1">
                <wp:simplePos x="0" y="0"/>
                <wp:positionH relativeFrom="column">
                  <wp:posOffset>-78105</wp:posOffset>
                </wp:positionH>
                <wp:positionV relativeFrom="page">
                  <wp:posOffset>2795270</wp:posOffset>
                </wp:positionV>
                <wp:extent cx="61214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1400" cy="63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6.15pt;margin-top:220.1pt;height:0.05pt;width:482pt;mso-position-vertical-relative:page;z-index:251660288;mso-width-relative:page;mso-height-relative:page;" filled="f" stroked="t" coordsize="21600,21600" o:gfxdata="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FaAnNkAAAALAQAADwAAAAAAAAABACAAAAAiAAAAZHJzL2Rvd25y&#10;ZXYueG1sUEsBAhQAFAAAAAgAh07iQNLnnw79AQAA4wMAAA4AAAAAAAAAAQAgAAAAKAEAAGRycy9l&#10;Mm9Eb2MueG1sUEsFBgAAAAAGAAYAWQEAAJcFAAAAAA==&#10;">
                <v:fill on="f" focussize="0,0"/>
                <v:stroke color="#457BBA" joinstyle="round"/>
                <v:imagedata o:title=""/>
                <o:lock v:ext="edit" aspectratio="f"/>
                <w10:anchorlock/>
              </v:line>
            </w:pict>
          </mc:Fallback>
        </mc:AlternateContent>
      </w: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jc w:val="both"/>
        <w:rPr>
          <w:rFonts w:hint="default" w:ascii="Times New Roman" w:hAnsi="Times New Roman" w:eastAsia="黑体" w:cs="Times New Roman"/>
          <w:sz w:val="44"/>
          <w:szCs w:val="44"/>
          <w:lang w:val="en-US" w:eastAsia="zh-CN"/>
        </w:rPr>
      </w:pPr>
    </w:p>
    <w:sdt>
      <w:sdtPr>
        <w:rPr>
          <w:rFonts w:ascii="宋体" w:hAnsi="宋体" w:eastAsia="宋体" w:cstheme="minorBidi"/>
          <w:kern w:val="2"/>
          <w:sz w:val="21"/>
          <w:szCs w:val="24"/>
          <w:lang w:val="en-US" w:eastAsia="zh-CN" w:bidi="ar-SA"/>
        </w:rPr>
        <w:id w:val="147468249"/>
        <w15:color w:val="DBDBDB"/>
        <w:docPartObj>
          <w:docPartGallery w:val="Table of Contents"/>
          <w:docPartUnique/>
        </w:docPartObj>
      </w:sdtPr>
      <w:sdtEndPr>
        <w:rPr>
          <w:rFonts w:hint="default" w:ascii="Times New Roman" w:hAnsi="Times New Roman" w:eastAsia="黑体" w:cs="Times New Roman"/>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default" w:ascii="黑体" w:hAnsi="黑体" w:eastAsia="黑体" w:cs="黑体"/>
              <w:sz w:val="32"/>
              <w:szCs w:val="32"/>
              <w:lang w:val="en-US"/>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次</w:t>
          </w:r>
        </w:p>
        <w:p>
          <w:pPr>
            <w:pStyle w:val="9"/>
            <w:tabs>
              <w:tab w:val="right" w:leader="dot" w:pos="9355"/>
            </w:tabs>
            <w:rPr>
              <w:rFonts w:hint="eastAsia" w:ascii="黑体" w:hAnsi="黑体" w:eastAsia="黑体" w:cs="黑体"/>
            </w:rPr>
          </w:pPr>
          <w:r>
            <w:rPr>
              <w:rFonts w:hint="eastAsia" w:ascii="黑体" w:hAnsi="黑体" w:eastAsia="黑体" w:cs="黑体"/>
              <w:sz w:val="44"/>
              <w:szCs w:val="44"/>
              <w:lang w:val="en-US" w:eastAsia="zh-CN"/>
            </w:rPr>
            <w:fldChar w:fldCharType="begin"/>
          </w:r>
          <w:r>
            <w:rPr>
              <w:rFonts w:hint="eastAsia" w:ascii="黑体" w:hAnsi="黑体" w:eastAsia="黑体" w:cs="黑体"/>
              <w:sz w:val="44"/>
              <w:szCs w:val="44"/>
              <w:lang w:val="en-US" w:eastAsia="zh-CN"/>
            </w:rPr>
            <w:instrText xml:space="preserve">TOC \o "1-3" \h \u </w:instrText>
          </w:r>
          <w:r>
            <w:rPr>
              <w:rFonts w:hint="eastAsia" w:ascii="黑体" w:hAnsi="黑体" w:eastAsia="黑体" w:cs="黑体"/>
              <w:sz w:val="44"/>
              <w:szCs w:val="44"/>
              <w:lang w:val="en-US" w:eastAsia="zh-CN"/>
            </w:rPr>
            <w:fldChar w:fldCharType="separate"/>
          </w: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_Toc27345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前  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_Toc27345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_Toc26390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1.范围</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_Toc26390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_Toc21573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2.规范性引用文件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_Toc21573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_Toc19569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3.术语和定义</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_Toc19569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_Toc13239 </w:instrText>
          </w:r>
          <w:r>
            <w:rPr>
              <w:rFonts w:hint="eastAsia" w:ascii="黑体" w:hAnsi="黑体" w:eastAsia="黑体" w:cs="黑体"/>
              <w:szCs w:val="44"/>
              <w:lang w:val="en-US" w:eastAsia="zh-CN"/>
            </w:rPr>
            <w:fldChar w:fldCharType="separate"/>
          </w:r>
          <w:r>
            <w:rPr>
              <w:rFonts w:hint="eastAsia" w:ascii="黑体" w:hAnsi="黑体" w:eastAsia="黑体" w:cs="黑体"/>
              <w:szCs w:val="21"/>
              <w:lang w:val="en-US" w:eastAsia="zh-CN"/>
            </w:rPr>
            <w:t>3.1</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_Toc13239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_Toc8629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4.缩略语</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_Toc8629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_Toc29374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5.概述</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_Toc29374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_Toc23369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6.接口类型与安全级别</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_Toc23369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_Toc18598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6.1 接口类型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_Toc18598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_Toc7618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6.2 安全级别</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_Toc7618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_Toc20547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7.安全设计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_Toc20547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_Toc18162 </w:instrText>
          </w:r>
          <w:r>
            <w:rPr>
              <w:rFonts w:hint="eastAsia" w:ascii="黑体" w:hAnsi="黑体" w:eastAsia="黑体" w:cs="黑体"/>
              <w:szCs w:val="44"/>
              <w:lang w:val="en-US" w:eastAsia="zh-CN"/>
            </w:rPr>
            <w:fldChar w:fldCharType="separate"/>
          </w:r>
          <w:r>
            <w:rPr>
              <w:rFonts w:hint="eastAsia" w:ascii="黑体" w:hAnsi="黑体" w:eastAsia="黑体" w:cs="黑体"/>
              <w:lang w:val="en-US" w:eastAsia="zh-CN"/>
            </w:rPr>
            <w:t>7.1 设计基本要求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_Toc18162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_Toc3395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7.2 交互约束要求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_Toc3395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_Toc31843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7.3 身份认证安全要求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_Toc31843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_Toc25910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7.4 通讯安全要求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_Toc25910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_Toc21206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8.部署要求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_Toc21206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_Toc29087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8.1 基本功能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_Toc29087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_Toc32373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9.运行安全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_Toc32373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_Toc31696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9.1 用户身份认证</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_Toc31696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_Toc14810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9.2 权限控制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_Toc14810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_Toc14428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9.3 数据安全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_Toc14428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_Toc16929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9.4 应用方安全能力</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_Toc16929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_Toc18277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9.5 应用方接口集成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_Toc18277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_Toc30866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9.应用方退出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_Toc30866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_Toc26642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10.服务终止与下线</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_Toc26642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9"/>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_Toc32432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11.安全管理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_Toc32432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_Toc233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11.1 管理制度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_Toc233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_Toc1968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11.2 应用安全责任</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_Toc1968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pStyle w:val="10"/>
            <w:tabs>
              <w:tab w:val="right" w:leader="dot" w:pos="9355"/>
            </w:tabs>
            <w:rPr>
              <w:rFonts w:hint="eastAsia" w:ascii="黑体" w:hAnsi="黑体" w:eastAsia="黑体" w:cs="黑体"/>
            </w:rPr>
          </w:pPr>
          <w:r>
            <w:rPr>
              <w:rFonts w:hint="eastAsia" w:ascii="黑体" w:hAnsi="黑体" w:eastAsia="黑体" w:cs="黑体"/>
              <w:szCs w:val="44"/>
              <w:lang w:val="en-US" w:eastAsia="zh-CN"/>
            </w:rPr>
            <w:fldChar w:fldCharType="begin"/>
          </w:r>
          <w:r>
            <w:rPr>
              <w:rFonts w:hint="eastAsia" w:ascii="黑体" w:hAnsi="黑体" w:eastAsia="黑体" w:cs="黑体"/>
              <w:szCs w:val="44"/>
              <w:lang w:val="en-US" w:eastAsia="zh-CN"/>
            </w:rPr>
            <w:instrText xml:space="preserve"> HYPERLINK \l _Toc27632 </w:instrText>
          </w:r>
          <w:r>
            <w:rPr>
              <w:rFonts w:hint="eastAsia" w:ascii="黑体" w:hAnsi="黑体" w:eastAsia="黑体" w:cs="黑体"/>
              <w:szCs w:val="44"/>
              <w:lang w:val="en-US" w:eastAsia="zh-CN"/>
            </w:rPr>
            <w:fldChar w:fldCharType="separate"/>
          </w:r>
          <w:r>
            <w:rPr>
              <w:rFonts w:hint="eastAsia" w:ascii="黑体" w:hAnsi="黑体" w:eastAsia="黑体" w:cs="黑体"/>
              <w:kern w:val="44"/>
              <w:szCs w:val="24"/>
              <w:lang w:val="en-US" w:eastAsia="zh-CN" w:bidi="ar-SA"/>
            </w:rPr>
            <w:t>11.3 安全审计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_Toc27632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szCs w:val="44"/>
              <w:lang w:val="en-US" w:eastAsia="zh-CN"/>
            </w:rPr>
            <w:fldChar w:fldCharType="end"/>
          </w:r>
        </w:p>
        <w:p>
          <w:pPr>
            <w:jc w:val="center"/>
            <w:rPr>
              <w:rFonts w:hint="default" w:ascii="Times New Roman" w:hAnsi="Times New Roman" w:eastAsia="黑体" w:cs="Times New Roman"/>
              <w:kern w:val="2"/>
              <w:sz w:val="21"/>
              <w:szCs w:val="44"/>
              <w:lang w:val="en-US" w:eastAsia="zh-CN" w:bidi="ar-SA"/>
            </w:rPr>
            <w:sectPr>
              <w:headerReference r:id="rId5" w:type="default"/>
              <w:footerReference r:id="rId7" w:type="default"/>
              <w:headerReference r:id="rId6" w:type="even"/>
              <w:pgSz w:w="11906" w:h="16838"/>
              <w:pgMar w:top="567" w:right="1134" w:bottom="1134" w:left="1417" w:header="1417" w:footer="1134"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Cs w:val="44"/>
              <w:lang w:val="en-US" w:eastAsia="zh-CN"/>
            </w:rPr>
            <w:fldChar w:fldCharType="end"/>
          </w:r>
        </w:p>
      </w:sdtContent>
    </w:sdt>
    <w:p>
      <w:pPr>
        <w:pStyle w:val="3"/>
        <w:bidi w:val="0"/>
        <w:jc w:val="center"/>
        <w:rPr>
          <w:rFonts w:hint="default"/>
          <w:lang w:val="en-US" w:eastAsia="zh-CN"/>
        </w:rPr>
      </w:pPr>
      <w:bookmarkStart w:id="2" w:name="_Toc27345"/>
      <w:r>
        <w:rPr>
          <w:rFonts w:hint="default"/>
          <w:lang w:val="en-US" w:eastAsia="zh-CN"/>
        </w:rPr>
        <w:t>前  言</w:t>
      </w:r>
      <w:bookmarkEnd w:id="2"/>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本文件按照GB/T1.1-2020《标准化工作导则 第1部分:标准化文件的结构和起规则》的规定起草。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本标准由日照银行股份有限公司提出并归口。</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本标准起草单位：日照银行股份有限公司。</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本标准主要起草人：</w:t>
      </w:r>
      <w:r>
        <w:rPr>
          <w:rFonts w:hint="eastAsia" w:cs="宋体"/>
          <w:color w:val="auto"/>
          <w:sz w:val="21"/>
          <w:szCs w:val="21"/>
          <w:lang w:val="en-US" w:eastAsia="zh-CN"/>
        </w:rPr>
        <w:t>王逸东、范丰伟、冯磊、曾现丰、张健钊、豆金峰</w:t>
      </w:r>
      <w:r>
        <w:rPr>
          <w:rFonts w:hint="eastAsia" w:ascii="宋体" w:hAnsi="宋体" w:eastAsia="宋体" w:cs="宋体"/>
          <w:color w:val="auto"/>
          <w:sz w:val="21"/>
          <w:szCs w:val="21"/>
          <w:lang w:val="en-US" w:eastAsia="zh-CN"/>
        </w:rPr>
        <w:t>。</w:t>
      </w:r>
    </w:p>
    <w:p>
      <w:pPr>
        <w:rPr>
          <w:rFonts w:hint="default" w:ascii="宋体" w:hAnsi="宋体" w:eastAsia="宋体" w:cs="宋体"/>
          <w:sz w:val="21"/>
          <w:szCs w:val="21"/>
          <w:lang w:val="en-US" w:eastAsia="zh-CN"/>
        </w:rPr>
      </w:pPr>
      <w:r>
        <w:rPr>
          <w:rFonts w:hint="eastAsia" w:cs="宋体"/>
          <w:sz w:val="21"/>
          <w:szCs w:val="21"/>
          <w:lang w:val="en-US" w:eastAsia="zh-CN"/>
        </w:rPr>
        <w:t>本标准为首次发布。</w:t>
      </w: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pStyle w:val="3"/>
        <w:bidi w:val="0"/>
        <w:outlineLvl w:val="9"/>
        <w:rPr>
          <w:rFonts w:hint="default" w:ascii="Times New Roman" w:hAnsi="Times New Roman" w:cs="Times New Roman"/>
          <w:lang w:val="en-US" w:eastAsia="zh-CN"/>
        </w:rPr>
      </w:pPr>
    </w:p>
    <w:p>
      <w:pPr>
        <w:bidi w:val="0"/>
        <w:jc w:val="center"/>
        <w:rPr>
          <w:rFonts w:hint="default" w:ascii="Times New Roman" w:hAnsi="Times New Roman" w:cs="Times New Roman"/>
          <w:b/>
          <w:bCs/>
          <w:sz w:val="32"/>
          <w:szCs w:val="32"/>
          <w:lang w:eastAsia="zh-CN"/>
        </w:rPr>
      </w:pPr>
    </w:p>
    <w:p>
      <w:pPr>
        <w:autoSpaceDE w:val="0"/>
        <w:autoSpaceDN w:val="0"/>
        <w:spacing w:line="240" w:lineRule="auto"/>
        <w:jc w:val="center"/>
        <w:rPr>
          <w:rFonts w:hint="default" w:cs="宋体"/>
          <w:b/>
          <w:bCs/>
          <w:kern w:val="0"/>
          <w:sz w:val="32"/>
          <w:szCs w:val="32"/>
          <w:lang w:val="en-US" w:eastAsia="zh-CN"/>
        </w:rPr>
      </w:pPr>
      <w:r>
        <w:rPr>
          <w:rFonts w:hint="default" w:cs="宋体"/>
          <w:b/>
          <w:bCs/>
          <w:kern w:val="0"/>
          <w:sz w:val="32"/>
          <w:szCs w:val="32"/>
          <w:lang w:val="en-US" w:eastAsia="zh-CN"/>
        </w:rPr>
        <w:t>日照银行智慧金融服务安全管理标准</w:t>
      </w:r>
    </w:p>
    <w:p>
      <w:pPr>
        <w:pStyle w:val="3"/>
        <w:bidi w:val="0"/>
        <w:rPr>
          <w:rFonts w:hint="eastAsia" w:ascii="黑体" w:hAnsi="黑体" w:eastAsia="黑体" w:cs="黑体"/>
          <w:b/>
          <w:bCs/>
          <w:lang w:val="en-US" w:eastAsia="zh-CN"/>
        </w:rPr>
      </w:pPr>
      <w:bookmarkStart w:id="3" w:name="_Toc26390"/>
      <w:r>
        <w:rPr>
          <w:rFonts w:hint="eastAsia" w:ascii="黑体" w:hAnsi="黑体" w:eastAsia="黑体" w:cs="黑体"/>
          <w:lang w:val="en-US" w:eastAsia="zh-CN"/>
        </w:rPr>
        <w:t>1.范围</w:t>
      </w:r>
      <w:bookmarkEnd w:id="3"/>
      <w:bookmarkStart w:id="32" w:name="_GoBack"/>
      <w:bookmarkEnd w:id="32"/>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本文件明确规定了日照银行股份有限公司(以下简称“日照银行”)应用程序接口服务的通讯协议、接口定义、安全设计、安全部署、安全保障、安全运维等要求。本文件适用于日照银行对外开放的应用程序接口的设计及应用。</w:t>
      </w:r>
    </w:p>
    <w:p>
      <w:pPr>
        <w:pStyle w:val="3"/>
        <w:bidi w:val="0"/>
        <w:rPr>
          <w:rFonts w:hint="default" w:ascii="黑体" w:hAnsi="黑体" w:eastAsia="黑体" w:cs="黑体"/>
          <w:lang w:val="en-US" w:eastAsia="zh-CN"/>
        </w:rPr>
      </w:pPr>
      <w:bookmarkStart w:id="4" w:name="_Toc138952656"/>
      <w:bookmarkStart w:id="5" w:name="_Toc21573"/>
      <w:r>
        <w:rPr>
          <w:rFonts w:hint="default" w:ascii="黑体" w:hAnsi="黑体" w:eastAsia="黑体" w:cs="黑体"/>
          <w:lang w:val="en-US" w:eastAsia="zh-CN"/>
        </w:rPr>
        <w:t>2.规范性引用文件</w:t>
      </w:r>
      <w:bookmarkEnd w:id="4"/>
      <w:bookmarkEnd w:id="5"/>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下列文件对于本文件的应用是必不可少的。凡是注日期的引用文件，仅注日期的版本适用于本文件。凡是不注日期的引用文件，其最新版本（包括所有的修改单）适用于本文件。</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GB/T 25069 信息安全技术 术语</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GB/T 35273—2017 信息安全技术 个人信息安全规范</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GB/T 28448-2019 信息安全技术网络安全等级保护测评要求</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GB/T 22239-2019 网络安全等级保护基本要求</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JR/T 0185-2020 商业银行应用程序接口安全管理规范</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JR/T 0092—2019 移动金融客户端应用软件安全管理规范 JR/T 0149—2016 中国金融移动支付 支付标记化技术规范 </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JR/T 0171—2020 个人金融信息保护技术规范</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JR/T 0071 金融行业信息系统信息安全等级保护实施指引</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JR/T 0124—2014 金融机构编码规范</w:t>
      </w:r>
    </w:p>
    <w:p>
      <w:pPr>
        <w:pStyle w:val="3"/>
        <w:numPr>
          <w:ilvl w:val="0"/>
          <w:numId w:val="0"/>
        </w:numPr>
        <w:bidi w:val="0"/>
        <w:rPr>
          <w:rFonts w:hint="default" w:ascii="黑体" w:hAnsi="黑体" w:eastAsia="黑体" w:cs="黑体"/>
          <w:lang w:val="en-US" w:eastAsia="zh-CN"/>
        </w:rPr>
      </w:pPr>
      <w:bookmarkStart w:id="6" w:name="_Toc19569"/>
      <w:r>
        <w:rPr>
          <w:rFonts w:hint="eastAsia" w:ascii="黑体" w:hAnsi="黑体" w:cs="黑体"/>
          <w:lang w:val="en-US" w:eastAsia="zh-CN"/>
        </w:rPr>
        <w:t>3.</w:t>
      </w:r>
      <w:r>
        <w:rPr>
          <w:rFonts w:hint="default" w:ascii="黑体" w:hAnsi="黑体" w:eastAsia="黑体" w:cs="黑体"/>
          <w:lang w:val="en-US" w:eastAsia="zh-CN"/>
        </w:rPr>
        <w:t>术语和定义</w:t>
      </w:r>
      <w:bookmarkEnd w:id="6"/>
    </w:p>
    <w:p>
      <w:pPr>
        <w:numPr>
          <w:ilvl w:val="0"/>
          <w:numId w:val="0"/>
        </w:numPr>
        <w:bidi w:val="0"/>
        <w:rPr>
          <w:rFonts w:hint="eastAsia" w:ascii="黑体" w:hAnsi="黑体" w:eastAsia="黑体" w:cs="黑体"/>
          <w:sz w:val="21"/>
          <w:szCs w:val="21"/>
          <w:lang w:val="en-US" w:eastAsia="zh-CN"/>
        </w:rPr>
      </w:pPr>
      <w:bookmarkStart w:id="7" w:name="_Toc13239"/>
      <w:r>
        <w:rPr>
          <w:rFonts w:hint="eastAsia" w:ascii="黑体" w:hAnsi="黑体" w:eastAsia="黑体" w:cs="黑体"/>
          <w:sz w:val="21"/>
          <w:szCs w:val="21"/>
          <w:lang w:val="en-US" w:eastAsia="zh-CN"/>
        </w:rPr>
        <w:t>3.1</w:t>
      </w:r>
      <w:bookmarkEnd w:id="7"/>
    </w:p>
    <w:p>
      <w:pPr>
        <w:rPr>
          <w:rFonts w:hint="eastAsia" w:ascii="黑体" w:hAnsi="黑体" w:eastAsia="黑体" w:cs="黑体"/>
          <w:lang w:val="en-US" w:eastAsia="zh-CN"/>
        </w:rPr>
      </w:pPr>
      <w:r>
        <w:rPr>
          <w:rFonts w:hint="eastAsia" w:ascii="黑体" w:hAnsi="黑体" w:eastAsia="黑体" w:cs="黑体"/>
          <w:lang w:val="en-US" w:eastAsia="zh-CN"/>
        </w:rPr>
        <w:t>应用程序接口 application programming interface</w:t>
      </w:r>
    </w:p>
    <w:p>
      <w:pPr>
        <w:rPr>
          <w:rFonts w:hint="default" w:ascii="Times New Roman" w:hAnsi="Times New Roman" w:cs="Times New Roman"/>
          <w:lang w:val="en-US" w:eastAsia="zh-CN"/>
        </w:rPr>
      </w:pPr>
      <w:r>
        <w:rPr>
          <w:rFonts w:hint="default" w:ascii="Times New Roman" w:hAnsi="Times New Roman" w:cs="Times New Roman"/>
          <w:lang w:val="en-US" w:eastAsia="zh-CN"/>
        </w:rPr>
        <w:t>对外开发的一组预先定义好的功能，开发者可通过该功能（或功能的组合）便捷地访问相关服务，而无需关注服务的设计与实现。</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3.2</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应用方 application agency</w:t>
      </w:r>
    </w:p>
    <w:p>
      <w:pPr>
        <w:rPr>
          <w:rFonts w:hint="default" w:ascii="Times New Roman" w:hAnsi="Times New Roman" w:cs="Times New Roman"/>
          <w:lang w:val="en-US" w:eastAsia="zh-CN"/>
        </w:rPr>
      </w:pPr>
      <w:r>
        <w:rPr>
          <w:rFonts w:hint="default" w:ascii="Times New Roman" w:hAnsi="Times New Roman" w:cs="Times New Roman"/>
          <w:lang w:val="en-US" w:eastAsia="zh-CN"/>
        </w:rPr>
        <w:t>调用日照银行应用程序接口的合作机构或个人开发者。</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3.3</w:t>
      </w:r>
    </w:p>
    <w:p>
      <w:pPr>
        <w:numPr>
          <w:ilvl w:val="0"/>
          <w:numId w:val="0"/>
        </w:numPr>
        <w:bidi w:val="0"/>
        <w:rPr>
          <w:rFonts w:hint="default" w:ascii="Times New Roman" w:hAnsi="Times New Roman" w:cs="Times New Roman"/>
          <w:lang w:val="en-US" w:eastAsia="zh-CN"/>
        </w:rPr>
      </w:pPr>
      <w:r>
        <w:rPr>
          <w:rFonts w:hint="default" w:ascii="黑体" w:hAnsi="黑体" w:eastAsia="黑体" w:cs="黑体"/>
          <w:sz w:val="21"/>
          <w:szCs w:val="21"/>
          <w:lang w:val="en-US" w:eastAsia="zh-CN"/>
        </w:rPr>
        <w:t>应用程序接口唯一标识 application programming interface unique ID</w:t>
      </w:r>
    </w:p>
    <w:p>
      <w:pPr>
        <w:rPr>
          <w:rFonts w:hint="default" w:ascii="Times New Roman" w:hAnsi="Times New Roman" w:cs="Times New Roman"/>
          <w:lang w:val="en-US" w:eastAsia="zh-CN"/>
        </w:rPr>
      </w:pPr>
      <w:r>
        <w:rPr>
          <w:rFonts w:hint="default" w:ascii="Times New Roman" w:hAnsi="Times New Roman" w:cs="Times New Roman"/>
          <w:lang w:val="en-US" w:eastAsia="zh-CN"/>
        </w:rPr>
        <w:t>由日照银行自行定义，用于区分日照银行应用程序接口功能的唯一标识。</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3.4</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应用唯一标识 application unique ID</w:t>
      </w:r>
    </w:p>
    <w:p>
      <w:pPr>
        <w:rPr>
          <w:rFonts w:hint="default" w:ascii="Times New Roman" w:hAnsi="Times New Roman" w:cs="Times New Roman"/>
          <w:lang w:val="en-US" w:eastAsia="zh-CN"/>
        </w:rPr>
      </w:pPr>
      <w:r>
        <w:rPr>
          <w:rFonts w:hint="default" w:ascii="Times New Roman" w:hAnsi="Times New Roman" w:cs="Times New Roman"/>
          <w:lang w:val="en-US" w:eastAsia="zh-CN"/>
        </w:rPr>
        <w:t>在应用方身份核验通过后，根据其调用的金融产品与服务类型，由日照银行为其授予的唯一标识。</w:t>
      </w:r>
    </w:p>
    <w:p>
      <w:pPr>
        <w:numPr>
          <w:ilvl w:val="0"/>
          <w:numId w:val="0"/>
        </w:numPr>
        <w:bidi w:val="0"/>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3.5</w:t>
      </w:r>
    </w:p>
    <w:p>
      <w:pPr>
        <w:rPr>
          <w:rFonts w:hint="default" w:ascii="黑体" w:hAnsi="黑体" w:eastAsia="黑体" w:cs="黑体"/>
          <w:sz w:val="21"/>
          <w:szCs w:val="21"/>
          <w:lang w:val="en-US" w:eastAsia="zh-CN"/>
        </w:rPr>
      </w:pPr>
      <w:r>
        <w:rPr>
          <w:rFonts w:hint="default" w:ascii="Times New Roman" w:hAnsi="Times New Roman" w:eastAsia="黑体" w:cs="Times New Roman"/>
          <w:lang w:val="en-US" w:eastAsia="zh-CN"/>
        </w:rPr>
        <w:t xml:space="preserve">应用程序接口统一识别码 </w:t>
      </w:r>
      <w:r>
        <w:rPr>
          <w:rFonts w:hint="default" w:ascii="黑体" w:hAnsi="黑体" w:eastAsia="黑体" w:cs="黑体"/>
          <w:sz w:val="21"/>
          <w:szCs w:val="21"/>
          <w:lang w:val="en-US" w:eastAsia="zh-CN"/>
        </w:rPr>
        <w:t>uniform application propramming interface ID</w:t>
      </w:r>
    </w:p>
    <w:p>
      <w:pPr>
        <w:rPr>
          <w:rFonts w:hint="default" w:ascii="Times New Roman" w:hAnsi="Times New Roman" w:cs="Times New Roman"/>
          <w:lang w:val="en-US" w:eastAsia="zh-CN"/>
        </w:rPr>
      </w:pPr>
      <w:r>
        <w:rPr>
          <w:rFonts w:hint="default" w:ascii="Times New Roman" w:hAnsi="Times New Roman" w:cs="Times New Roman"/>
          <w:lang w:val="en-US" w:eastAsia="zh-CN"/>
        </w:rPr>
        <w:t>日照银行根据商业银行应用程序接口统一识别码编码规则</w:t>
      </w:r>
      <w:r>
        <w:rPr>
          <w:rFonts w:hint="eastAsia" w:ascii="Times New Roman" w:hAnsi="Times New Roman" w:cs="Times New Roman"/>
          <w:lang w:val="en-US" w:eastAsia="zh-CN"/>
        </w:rPr>
        <w:t>，</w:t>
      </w:r>
      <w:r>
        <w:rPr>
          <w:rFonts w:hint="default" w:ascii="Times New Roman" w:hAnsi="Times New Roman" w:cs="Times New Roman"/>
          <w:lang w:val="en-US" w:eastAsia="zh-CN"/>
        </w:rPr>
        <w:t>生成的对外开放的应用程序接口统一识别码。</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3.6</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应用鉴别密文 application secret</w:t>
      </w:r>
    </w:p>
    <w:p>
      <w:pPr>
        <w:rPr>
          <w:rFonts w:hint="eastAsia" w:ascii="宋体" w:hAnsi="宋体" w:eastAsia="宋体" w:cs="宋体"/>
          <w:lang w:val="en-US" w:eastAsia="zh-CN"/>
        </w:rPr>
      </w:pPr>
      <w:r>
        <w:rPr>
          <w:rFonts w:hint="eastAsia" w:ascii="宋体" w:hAnsi="宋体" w:eastAsia="宋体" w:cs="宋体"/>
          <w:lang w:val="en-US" w:eastAsia="zh-CN"/>
        </w:rPr>
        <w:t>应用合法性鉴别凭证，与应用唯一标识配套使用，以验证通过API方式接入的应用合法性，接入验证通过后，即可完成系统对接，调用应用程序接口或使用应用程序接口提供的功能和数据。</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3.7</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移动金融客户端应用软件 financial mobile application software</w:t>
      </w:r>
    </w:p>
    <w:p>
      <w:pPr>
        <w:rPr>
          <w:rFonts w:hint="default" w:ascii="Times New Roman" w:hAnsi="Times New Roman" w:cs="Times New Roman"/>
          <w:lang w:val="en-US" w:eastAsia="zh-CN"/>
        </w:rPr>
      </w:pPr>
      <w:r>
        <w:rPr>
          <w:rFonts w:hint="default" w:ascii="Times New Roman" w:hAnsi="Times New Roman" w:cs="Times New Roman"/>
          <w:lang w:val="en-US" w:eastAsia="zh-CN"/>
        </w:rPr>
        <w:t>在移动终端上为用户提供金融交易服务的应用软件。</w:t>
      </w:r>
    </w:p>
    <w:p>
      <w:pPr>
        <w:rPr>
          <w:rFonts w:hint="default" w:ascii="Times New Roman" w:hAnsi="Times New Roman" w:cs="Times New Roman"/>
          <w:lang w:val="en-US" w:eastAsia="zh-CN"/>
        </w:rPr>
      </w:pPr>
      <w:r>
        <w:rPr>
          <w:rFonts w:hint="default" w:ascii="Times New Roman" w:hAnsi="Times New Roman" w:cs="Times New Roman"/>
          <w:lang w:val="en-US" w:eastAsia="zh-CN"/>
        </w:rPr>
        <w:t>注：包括但不限于可执行文件、组件等。</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3.8</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个人金融信息 personal financial information</w:t>
      </w:r>
    </w:p>
    <w:p>
      <w:pPr>
        <w:rPr>
          <w:rFonts w:hint="default" w:ascii="Times New Roman" w:hAnsi="Times New Roman" w:cs="Times New Roman"/>
          <w:lang w:val="en-US" w:eastAsia="zh-CN"/>
        </w:rPr>
      </w:pPr>
      <w:r>
        <w:rPr>
          <w:rFonts w:hint="default" w:ascii="Times New Roman" w:hAnsi="Times New Roman" w:cs="Times New Roman"/>
          <w:lang w:val="en-US" w:eastAsia="zh-CN"/>
        </w:rPr>
        <w:t>金融机构通过提供金融产品和服务或其他渠道获取、加工和保存的个人信息。</w:t>
      </w:r>
    </w:p>
    <w:p>
      <w:pPr>
        <w:rPr>
          <w:rFonts w:hint="default" w:ascii="Times New Roman" w:hAnsi="Times New Roman" w:cs="Times New Roman"/>
          <w:lang w:val="en-US" w:eastAsia="zh-CN"/>
        </w:rPr>
      </w:pPr>
      <w:r>
        <w:rPr>
          <w:rFonts w:hint="default" w:ascii="黑体" w:hAnsi="黑体" w:eastAsia="黑体" w:cs="黑体"/>
          <w:sz w:val="21"/>
          <w:szCs w:val="21"/>
          <w:lang w:val="en-US" w:eastAsia="zh-CN"/>
        </w:rPr>
        <w:t>注1：</w:t>
      </w:r>
      <w:r>
        <w:rPr>
          <w:rFonts w:hint="default" w:ascii="Times New Roman" w:hAnsi="Times New Roman" w:cs="Times New Roman"/>
          <w:lang w:val="en-US" w:eastAsia="zh-CN"/>
        </w:rPr>
        <w:t xml:space="preserve"> 包括账户信息、鉴别信息、金融交易信息、个人身份信息、财产信息、 借贷信息及其他反应特定个人某些情况的信息。</w:t>
      </w:r>
    </w:p>
    <w:p>
      <w:pPr>
        <w:rPr>
          <w:rFonts w:hint="eastAsia" w:ascii="宋体" w:hAnsi="宋体" w:eastAsia="宋体" w:cs="宋体"/>
          <w:lang w:val="en-US" w:eastAsia="zh-CN"/>
        </w:rPr>
      </w:pPr>
      <w:r>
        <w:rPr>
          <w:rFonts w:hint="default" w:ascii="黑体" w:hAnsi="黑体" w:eastAsia="黑体" w:cs="黑体"/>
          <w:sz w:val="21"/>
          <w:szCs w:val="21"/>
          <w:lang w:val="en-US" w:eastAsia="zh-CN"/>
        </w:rPr>
        <w:t>注2：</w:t>
      </w:r>
      <w:r>
        <w:rPr>
          <w:rFonts w:hint="default" w:ascii="Times New Roman" w:hAnsi="Times New Roman" w:eastAsia="黑体" w:cs="Times New Roman"/>
          <w:lang w:val="en-US" w:eastAsia="zh-CN"/>
        </w:rPr>
        <w:t xml:space="preserve"> </w:t>
      </w:r>
      <w:r>
        <w:rPr>
          <w:rFonts w:hint="eastAsia" w:ascii="宋体" w:hAnsi="宋体" w:eastAsia="宋体" w:cs="宋体"/>
          <w:lang w:val="en-US" w:eastAsia="zh-CN"/>
        </w:rPr>
        <w:t>改写 GB/T 35273—2017，定义 3.1。</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3.9</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支付敏感信息 payment sensitive information</w:t>
      </w:r>
    </w:p>
    <w:p>
      <w:pPr>
        <w:rPr>
          <w:rFonts w:hint="default" w:ascii="Times New Roman" w:hAnsi="Times New Roman" w:cs="Times New Roman"/>
          <w:lang w:val="en-US" w:eastAsia="zh-CN"/>
        </w:rPr>
      </w:pPr>
      <w:r>
        <w:rPr>
          <w:rFonts w:hint="default" w:ascii="Times New Roman" w:hAnsi="Times New Roman" w:cs="Times New Roman"/>
          <w:lang w:val="en-US" w:eastAsia="zh-CN"/>
        </w:rPr>
        <w:t>支付信息中涉及支付主体隐私和身份识别的重要信息。</w:t>
      </w:r>
    </w:p>
    <w:p>
      <w:pPr>
        <w:rPr>
          <w:rFonts w:hint="default" w:ascii="Times New Roman" w:hAnsi="Times New Roman" w:cs="Times New Roman"/>
          <w:lang w:val="en-US" w:eastAsia="zh-CN"/>
        </w:rPr>
      </w:pPr>
      <w:r>
        <w:rPr>
          <w:rFonts w:hint="default" w:ascii="Times New Roman" w:hAnsi="Times New Roman" w:cs="Times New Roman"/>
          <w:lang w:val="en-US" w:eastAsia="zh-CN"/>
        </w:rPr>
        <w:t>注： 包括但不限于银行卡磁道或芯片信息、卡片验证码、卡片有效期、银行卡密码、网络支付交易密码等。</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3.10</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支付账号 payment account</w:t>
      </w:r>
    </w:p>
    <w:p>
      <w:pPr>
        <w:rPr>
          <w:rFonts w:hint="eastAsia" w:ascii="宋体" w:hAnsi="宋体" w:eastAsia="宋体" w:cs="宋体"/>
          <w:lang w:val="en-US" w:eastAsia="zh-CN"/>
        </w:rPr>
      </w:pPr>
      <w:r>
        <w:rPr>
          <w:rFonts w:hint="eastAsia" w:ascii="宋体" w:hAnsi="宋体" w:eastAsia="宋体" w:cs="宋体"/>
          <w:lang w:val="en-US" w:eastAsia="zh-CN"/>
        </w:rPr>
        <w:t>具有金融交易功能的银行账户、非银行支付机构支付账户的编码及银行卡卡号。  [JR/T 0149—2016，定义 3.1]</w:t>
      </w:r>
    </w:p>
    <w:p>
      <w:pPr>
        <w:rPr>
          <w:rFonts w:hint="default" w:ascii="Times New Roman" w:hAnsi="Times New Roman" w:cs="Times New Roman"/>
          <w:lang w:val="en-US" w:eastAsia="zh-CN"/>
        </w:rPr>
      </w:pP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3.11</w:t>
      </w:r>
    </w:p>
    <w:p>
      <w:pPr>
        <w:numPr>
          <w:ilvl w:val="0"/>
          <w:numId w:val="0"/>
        </w:numPr>
        <w:bidi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明示同意 explicit consent</w:t>
      </w:r>
    </w:p>
    <w:p>
      <w:pPr>
        <w:rPr>
          <w:rFonts w:hint="default" w:ascii="Times New Roman" w:hAnsi="Times New Roman" w:cs="Times New Roman"/>
          <w:lang w:val="en-US" w:eastAsia="zh-CN"/>
        </w:rPr>
      </w:pPr>
      <w:r>
        <w:rPr>
          <w:rFonts w:hint="default" w:ascii="Times New Roman" w:hAnsi="Times New Roman" w:cs="Times New Roman"/>
          <w:lang w:val="en-US" w:eastAsia="zh-CN"/>
        </w:rPr>
        <w:t>个人金融信息主体通过书面声明或主动做出肯定性动作，对其个人金融信息进行特定处理做出明确授权的行为。</w:t>
      </w:r>
    </w:p>
    <w:p>
      <w:pPr>
        <w:rPr>
          <w:rFonts w:hint="default" w:ascii="Times New Roman" w:hAnsi="Times New Roman" w:cs="Times New Roman"/>
          <w:lang w:val="en-US" w:eastAsia="zh-CN"/>
        </w:rPr>
      </w:pPr>
      <w:r>
        <w:rPr>
          <w:rFonts w:hint="default" w:ascii="Times New Roman" w:hAnsi="Times New Roman" w:cs="Times New Roman"/>
          <w:lang w:val="en-US" w:eastAsia="zh-CN"/>
        </w:rPr>
        <w:t>注：肯定性动作包括个人信息主体主动作出声明（电子或纸质形式）、主动勾选、主动点击“同意”“注册”“发送”“拨打”等。</w:t>
      </w:r>
    </w:p>
    <w:p>
      <w:pPr>
        <w:rPr>
          <w:rFonts w:hint="eastAsia" w:ascii="宋体" w:hAnsi="宋体" w:eastAsia="宋体" w:cs="宋体"/>
          <w:lang w:val="en-US" w:eastAsia="zh-CN"/>
        </w:rPr>
      </w:pPr>
      <w:r>
        <w:rPr>
          <w:rFonts w:hint="eastAsia" w:ascii="宋体" w:hAnsi="宋体" w:eastAsia="宋体" w:cs="宋体"/>
          <w:lang w:val="en-US" w:eastAsia="zh-CN"/>
        </w:rPr>
        <w:t>[GB/T 35273—2017，定义 3.6]</w:t>
      </w:r>
    </w:p>
    <w:p>
      <w:pPr>
        <w:pStyle w:val="3"/>
        <w:numPr>
          <w:ilvl w:val="0"/>
          <w:numId w:val="0"/>
        </w:numPr>
        <w:bidi w:val="0"/>
        <w:rPr>
          <w:rFonts w:hint="default" w:ascii="黑体" w:hAnsi="黑体" w:cs="黑体"/>
          <w:lang w:val="en-US" w:eastAsia="zh-CN"/>
        </w:rPr>
      </w:pPr>
      <w:bookmarkStart w:id="8" w:name="_Toc8629"/>
      <w:r>
        <w:rPr>
          <w:rFonts w:hint="eastAsia" w:ascii="黑体" w:hAnsi="黑体" w:cs="黑体"/>
          <w:lang w:val="en-US" w:eastAsia="zh-CN"/>
        </w:rPr>
        <w:t>4.</w:t>
      </w:r>
      <w:r>
        <w:rPr>
          <w:rFonts w:hint="default" w:ascii="黑体" w:hAnsi="黑体" w:cs="黑体"/>
          <w:lang w:val="en-US" w:eastAsia="zh-CN"/>
        </w:rPr>
        <w:t>缩略语</w:t>
      </w:r>
      <w:bookmarkEnd w:id="8"/>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下列缩略语适用于本文件。</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API：应用程序接口（Application Programming Interface）</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API_ID：接口唯一标识（Application Programming Interface unique ID） </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App_ID：应用唯一标识（Application unique ID）</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App_Secret：应用鉴别密文（Application Secret）</w:t>
      </w:r>
    </w:p>
    <w:p>
      <w:pPr>
        <w:numPr>
          <w:ilvl w:val="0"/>
          <w:numId w:val="0"/>
        </w:numPr>
        <w:ind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SDK：应用软件开发工具包（Application Programming Interface）</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SSL：安全套接层协议（Secure Sockets Layer） </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TLS：安全传输层协议（Transport Layer Security） </w:t>
      </w:r>
    </w:p>
    <w:p>
      <w:pPr>
        <w:numPr>
          <w:ilvl w:val="0"/>
          <w:numId w:val="0"/>
        </w:numPr>
        <w:ind w:leftChars="0" w:firstLine="420" w:firstLineChars="200"/>
        <w:rPr>
          <w:rFonts w:hint="default" w:ascii="Times New Roman" w:hAnsi="Times New Roman" w:cs="Times New Roman"/>
          <w:lang w:val="en-US" w:eastAsia="zh-CN"/>
        </w:rPr>
      </w:pPr>
      <w:r>
        <w:rPr>
          <w:rFonts w:hint="eastAsia" w:ascii="宋体" w:hAnsi="宋体" w:eastAsia="宋体" w:cs="宋体"/>
          <w:lang w:val="en-US" w:eastAsia="zh-CN"/>
        </w:rPr>
        <w:t>MAC：消息鉴别码（Message Authentication Code）</w:t>
      </w:r>
    </w:p>
    <w:p>
      <w:pPr>
        <w:pStyle w:val="3"/>
        <w:numPr>
          <w:ilvl w:val="0"/>
          <w:numId w:val="0"/>
        </w:numPr>
        <w:bidi w:val="0"/>
        <w:rPr>
          <w:rFonts w:hint="default" w:ascii="黑体" w:hAnsi="黑体" w:cs="黑体"/>
          <w:lang w:val="en-US" w:eastAsia="zh-CN"/>
        </w:rPr>
      </w:pPr>
      <w:bookmarkStart w:id="9" w:name="_Toc29374"/>
      <w:r>
        <w:rPr>
          <w:rFonts w:hint="eastAsia" w:ascii="黑体" w:hAnsi="黑体" w:cs="黑体"/>
          <w:lang w:val="en-US" w:eastAsia="zh-CN"/>
        </w:rPr>
        <w:t>5.</w:t>
      </w:r>
      <w:r>
        <w:rPr>
          <w:rFonts w:hint="default" w:ascii="黑体" w:hAnsi="黑体" w:cs="黑体"/>
          <w:lang w:val="en-US" w:eastAsia="zh-CN"/>
        </w:rPr>
        <w:t>概述</w:t>
      </w:r>
      <w:bookmarkEnd w:id="9"/>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程序接口服务是一种依托API技术实现内外部交互的金融服务模式，日照银行通过为合作伙伴提供用以互联的应用程序接口，输出自身金融服务能力与信息技术能力。外部渠道通过互联网，调用日照银行应用程序接口，获取银行各类服务。</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日照银行应用程序接口服务的参与方主要包括用户、应用方以及日照银行，日照银行通过API直接或间接向应用方和用户提供应用应用程序接口服务，实现日照银行服务的对外输出。</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用户发起日照银行应用程序接口应用请求，并接收由应用方或日照银行返回的处理结果。</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应用方负责接收并处理用户请求，通过应用程序接口向日照银行提交相关请求、接收返回结果，依照流程进行服务请求处理或反馈用户。</w:t>
      </w:r>
    </w:p>
    <w:p>
      <w:pPr>
        <w:pStyle w:val="3"/>
        <w:numPr>
          <w:ilvl w:val="0"/>
          <w:numId w:val="0"/>
        </w:numPr>
        <w:bidi w:val="0"/>
        <w:rPr>
          <w:rFonts w:hint="default" w:ascii="黑体" w:hAnsi="黑体" w:cs="黑体"/>
          <w:lang w:val="en-US" w:eastAsia="zh-CN"/>
        </w:rPr>
      </w:pPr>
      <w:bookmarkStart w:id="10" w:name="_Toc23369"/>
      <w:r>
        <w:rPr>
          <w:rFonts w:hint="default" w:ascii="黑体" w:hAnsi="黑体" w:cs="黑体"/>
          <w:lang w:val="en-US" w:eastAsia="zh-CN"/>
        </w:rPr>
        <w:t>6.接口类型与安全级别</w:t>
      </w:r>
      <w:bookmarkEnd w:id="10"/>
    </w:p>
    <w:p>
      <w:pPr>
        <w:pStyle w:val="3"/>
        <w:numPr>
          <w:ilvl w:val="0"/>
          <w:numId w:val="0"/>
        </w:numPr>
        <w:bidi w:val="0"/>
        <w:outlineLvl w:val="1"/>
        <w:rPr>
          <w:rFonts w:hint="default" w:ascii="黑体" w:hAnsi="黑体" w:cs="黑体"/>
          <w:lang w:val="en-US" w:eastAsia="zh-CN"/>
        </w:rPr>
      </w:pPr>
      <w:bookmarkStart w:id="11" w:name="_Toc18598"/>
      <w:r>
        <w:rPr>
          <w:rFonts w:hint="default" w:ascii="黑体" w:hAnsi="黑体" w:cs="黑体"/>
          <w:lang w:val="en-US" w:eastAsia="zh-CN"/>
        </w:rPr>
        <w:t>6.1 接口类型</w:t>
      </w:r>
      <w:bookmarkEnd w:id="11"/>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应用接口按照应用集成方式，分为服务端对服务端集成方式与移动终端对服务端集成方式两种。</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对于服务端对服务端集成方式，主要包含两种实现形式：</w:t>
      </w:r>
    </w:p>
    <w:p>
      <w:pPr>
        <w:numPr>
          <w:ilvl w:val="0"/>
          <w:numId w:val="0"/>
        </w:numPr>
        <w:ind w:left="480" w:leftChars="0"/>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应用方服务端直接调用日照银行应用程序接口。</w:t>
      </w:r>
    </w:p>
    <w:p>
      <w:pPr>
        <w:numPr>
          <w:ilvl w:val="0"/>
          <w:numId w:val="0"/>
        </w:numPr>
        <w:ind w:left="480" w:leftChars="0"/>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应用方服务端使用日照银行提供的SDK，间接访问日照银行应用程序接口。</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对于移动终端对服务端集成方式，应用方移动终端应用软件直接调用日照银行应用程序接口。</w:t>
      </w:r>
    </w:p>
    <w:p>
      <w:pPr>
        <w:pStyle w:val="3"/>
        <w:numPr>
          <w:ilvl w:val="0"/>
          <w:numId w:val="0"/>
        </w:numPr>
        <w:bidi w:val="0"/>
        <w:outlineLvl w:val="1"/>
        <w:rPr>
          <w:rFonts w:hint="default" w:ascii="黑体" w:hAnsi="黑体" w:cs="黑体"/>
          <w:lang w:val="en-US" w:eastAsia="zh-CN"/>
        </w:rPr>
      </w:pPr>
      <w:bookmarkStart w:id="12" w:name="_Toc7618"/>
      <w:r>
        <w:rPr>
          <w:rFonts w:hint="default" w:ascii="黑体" w:hAnsi="黑体" w:cs="黑体"/>
          <w:lang w:val="en-US" w:eastAsia="zh-CN"/>
        </w:rPr>
        <w:t>6.2 安全级别</w:t>
      </w:r>
      <w:bookmarkEnd w:id="12"/>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按照服务类型将应用程序接口安全级别分为两级，安全保护要求从A1至A2递增。</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A2：资金交易与账户信息查询应用类，此类金融产品和服务与用户个体直接关联，实施高等级安全保护强度，此类应用程序接口包括但不限于：</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1）通过应用程序接口，提供我行资金交易类服务，如支付转账及金融产品购买等。</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2）通过应用程序接口，提供我行用户账户信息查询类服务，如账户余额、交易历史、账户限额、金融产品和服务持有情况等。</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A1：金融产品和服务信息查询类，此类金融产品和服务与用户个体并无直接关联，实施通用的安全保护强度。</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以上级别均采用SSL/TSL等安全通道连接进行通信，应使用TLS 1.2及以上版本。</w:t>
      </w:r>
    </w:p>
    <w:p>
      <w:pPr>
        <w:pStyle w:val="3"/>
        <w:numPr>
          <w:ilvl w:val="0"/>
          <w:numId w:val="0"/>
        </w:numPr>
        <w:bidi w:val="0"/>
        <w:rPr>
          <w:rFonts w:hint="default" w:ascii="黑体" w:hAnsi="黑体" w:cs="黑体"/>
          <w:lang w:val="en-US" w:eastAsia="zh-CN"/>
        </w:rPr>
      </w:pPr>
      <w:bookmarkStart w:id="13" w:name="_Toc20547"/>
      <w:r>
        <w:rPr>
          <w:rFonts w:hint="default" w:ascii="黑体" w:hAnsi="黑体" w:cs="黑体"/>
          <w:lang w:val="en-US" w:eastAsia="zh-CN"/>
        </w:rPr>
        <w:t>7.安全设计</w:t>
      </w:r>
      <w:bookmarkEnd w:id="13"/>
    </w:p>
    <w:p>
      <w:pPr>
        <w:pStyle w:val="3"/>
        <w:numPr>
          <w:ilvl w:val="0"/>
          <w:numId w:val="0"/>
        </w:numPr>
        <w:bidi w:val="0"/>
        <w:outlineLvl w:val="1"/>
        <w:rPr>
          <w:rFonts w:hint="default" w:ascii="黑体" w:hAnsi="黑体" w:cs="黑体"/>
          <w:lang w:val="en-US" w:eastAsia="zh-CN"/>
        </w:rPr>
      </w:pPr>
      <w:bookmarkStart w:id="14" w:name="_Toc18162"/>
      <w:r>
        <w:rPr>
          <w:rFonts w:hint="default" w:ascii="黑体" w:hAnsi="黑体" w:cs="黑体"/>
          <w:lang w:val="en-US" w:eastAsia="zh-CN"/>
        </w:rPr>
        <w:t>7.1 设计基本要求</w:t>
      </w:r>
      <w:bookmarkEnd w:id="14"/>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——使用的密码算法、技术及产品应符合国家密码管理部门及行业主管部门要求。</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——应制定安全编码规范。</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——应对开发人员进行安全编码培训，并依照安全编码规范进行开发。</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——开发中如需使用第三方应用组件，应对组件进行安全性验证，并持续关注相关平台的信息披露和更新情况，适时更新相关组件。</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——应对商业银行应用程序接口进行代码安全专项审计，审计工作可通过人工或工具自动化方式开展。</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——应制定源代码和商业银行应用程序接口版本管理与控制规程，规范源代码和商业银行应用程序接口版本管理，并就接口废止、变更等情况与应用方保持信息同步。</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——商业银行向应用方提供的异常与调试信息，不应泄漏服务器、中间件、数据库等软硬件信息或内部网络信息。</w:t>
      </w:r>
    </w:p>
    <w:p>
      <w:pPr>
        <w:pStyle w:val="4"/>
        <w:bidi w:val="0"/>
        <w:rPr>
          <w:rFonts w:hint="default" w:ascii="黑体" w:hAnsi="黑体" w:eastAsia="黑体" w:cs="黑体"/>
          <w:kern w:val="44"/>
          <w:sz w:val="32"/>
          <w:szCs w:val="24"/>
          <w:lang w:val="en-US" w:eastAsia="zh-CN" w:bidi="ar-SA"/>
        </w:rPr>
      </w:pPr>
      <w:bookmarkStart w:id="15" w:name="_Toc3395"/>
      <w:r>
        <w:rPr>
          <w:rFonts w:hint="eastAsia" w:ascii="黑体" w:hAnsi="黑体" w:eastAsia="黑体" w:cs="黑体"/>
          <w:kern w:val="44"/>
          <w:sz w:val="32"/>
          <w:szCs w:val="24"/>
          <w:lang w:val="en-US" w:eastAsia="zh-CN" w:bidi="ar-SA"/>
        </w:rPr>
        <w:t xml:space="preserve">7.2 </w:t>
      </w:r>
      <w:r>
        <w:rPr>
          <w:rFonts w:hint="default" w:ascii="黑体" w:hAnsi="黑体" w:eastAsia="黑体" w:cs="黑体"/>
          <w:kern w:val="44"/>
          <w:sz w:val="32"/>
          <w:szCs w:val="24"/>
          <w:lang w:val="en-US" w:eastAsia="zh-CN" w:bidi="ar-SA"/>
        </w:rPr>
        <w:t>交互约束要求</w:t>
      </w:r>
      <w:bookmarkEnd w:id="15"/>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——应用程序接口应对连通有效性进行验证，如接口版本、参数格式等要素是否与平台设计保持一致。</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——应对我行应用程序接口进行交互的数据进行完整性保护。</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——对于支付敏感信息等个人金融信息，应采取组合安全措施进行安全交互。</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——账号、卡号、姓名、证件号码等个人金融敏感信息在传输过程中应对报文做整体加密处理。若确需使用商业银行应用程序接口将账号、卡号、姓名向应用方进行反馈，应脱敏或去标识化处理。</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——对于用户持有份额、购买金额等只读信息查询，可使用API直连方式进行查询请求连接，应采取加密等措施保证查询信息的完整性与保密性。</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——应在交易认证结束后及时清除用户支付敏感信息，防范攻击者通过读取临时文件、内存数据等方式获得全部或部分用户信息。</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——应根据不同应用方的需求，按照最小授权原则，对相应接口权限进行授权管理，当服务需求变更时，需及时评估和调整接口权限。</w:t>
      </w:r>
    </w:p>
    <w:p>
      <w:pPr>
        <w:pStyle w:val="4"/>
        <w:bidi w:val="0"/>
        <w:rPr>
          <w:rFonts w:hint="default" w:ascii="黑体" w:hAnsi="黑体" w:eastAsia="黑体" w:cs="黑体"/>
          <w:kern w:val="44"/>
          <w:sz w:val="32"/>
          <w:szCs w:val="24"/>
          <w:lang w:val="en-US" w:eastAsia="zh-CN" w:bidi="ar-SA"/>
        </w:rPr>
      </w:pPr>
      <w:bookmarkStart w:id="16" w:name="_Toc31843"/>
      <w:r>
        <w:rPr>
          <w:rFonts w:hint="default" w:ascii="黑体" w:hAnsi="黑体" w:eastAsia="黑体" w:cs="黑体"/>
          <w:kern w:val="44"/>
          <w:sz w:val="32"/>
          <w:szCs w:val="24"/>
          <w:lang w:val="en-US" w:eastAsia="zh-CN" w:bidi="ar-SA"/>
        </w:rPr>
        <w:t>7.3</w:t>
      </w:r>
      <w:r>
        <w:rPr>
          <w:rFonts w:hint="eastAsia" w:ascii="黑体" w:hAnsi="黑体" w:cs="黑体"/>
          <w:kern w:val="44"/>
          <w:sz w:val="32"/>
          <w:szCs w:val="24"/>
          <w:lang w:val="en-US" w:eastAsia="zh-CN" w:bidi="ar-SA"/>
        </w:rPr>
        <w:t xml:space="preserve"> </w:t>
      </w:r>
      <w:r>
        <w:rPr>
          <w:rFonts w:hint="default" w:ascii="黑体" w:hAnsi="黑体" w:eastAsia="黑体" w:cs="黑体"/>
          <w:kern w:val="44"/>
          <w:sz w:val="32"/>
          <w:szCs w:val="24"/>
          <w:lang w:val="en-US" w:eastAsia="zh-CN" w:bidi="ar-SA"/>
        </w:rPr>
        <w:t>身份认证安全要求</w:t>
      </w:r>
      <w:bookmarkEnd w:id="16"/>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接口身份认证要求如下：</w:t>
      </w:r>
    </w:p>
    <w:p>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lang w:val="en-US" w:eastAsia="zh-CN"/>
        </w:rPr>
        <w:t>——对于应用方身份认证应使用的验证要素包括：</w:t>
      </w:r>
      <w:r>
        <w:rPr>
          <w:rFonts w:hint="eastAsia" w:ascii="宋体" w:hAnsi="宋体" w:eastAsia="宋体" w:cs="宋体"/>
          <w:highlight w:val="none"/>
          <w:lang w:val="en-US" w:eastAsia="zh-CN"/>
        </w:rPr>
        <w:t>AppSecret、AppID、公私钥对、渠道编码的组合。</w:t>
      </w:r>
    </w:p>
    <w:p>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lang w:val="en-US" w:eastAsia="zh-CN"/>
        </w:rPr>
        <w:t>——</w:t>
      </w:r>
      <w:r>
        <w:rPr>
          <w:rFonts w:hint="eastAsia" w:ascii="宋体" w:hAnsi="宋体" w:eastAsia="宋体" w:cs="宋体"/>
          <w:highlight w:val="none"/>
          <w:lang w:val="en-US" w:eastAsia="zh-CN"/>
        </w:rPr>
        <w:t>日照银行对应用唯一标识 AppID 进行存储与统一管理，并根据应用唯一标识 AppID 进行应用身份认证、状态校验和权限控制等。</w:t>
      </w:r>
    </w:p>
    <w:p>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lang w:val="en-US" w:eastAsia="zh-CN"/>
        </w:rPr>
        <w:t>——</w:t>
      </w:r>
      <w:r>
        <w:rPr>
          <w:rFonts w:hint="eastAsia" w:ascii="宋体" w:hAnsi="宋体" w:eastAsia="宋体" w:cs="宋体"/>
          <w:highlight w:val="none"/>
          <w:lang w:val="en-US" w:eastAsia="zh-CN"/>
        </w:rPr>
        <w:t>对于A2级别的接口，应用方认证时，应使用包含公私钥对的方式进行双向身份认证。</w:t>
      </w:r>
    </w:p>
    <w:p>
      <w:pPr>
        <w:numPr>
          <w:ilvl w:val="0"/>
          <w:numId w:val="0"/>
        </w:numPr>
        <w:ind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用户身份认证安全要求如下：</w:t>
      </w:r>
    </w:p>
    <w:p>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lang w:val="en-US" w:eastAsia="zh-CN"/>
        </w:rPr>
        <w:t>——</w:t>
      </w:r>
      <w:r>
        <w:rPr>
          <w:rFonts w:hint="eastAsia" w:ascii="宋体" w:hAnsi="宋体" w:eastAsia="宋体" w:cs="宋体"/>
          <w:highlight w:val="none"/>
          <w:lang w:val="en-US" w:eastAsia="zh-CN"/>
        </w:rPr>
        <w:t>应结合金融服务场景，对不同安全级别的应用程序接口设计不同级别的用户身份认证机制。</w:t>
      </w:r>
    </w:p>
    <w:p>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lang w:val="en-US" w:eastAsia="zh-CN"/>
        </w:rPr>
        <w:t>——</w:t>
      </w:r>
      <w:r>
        <w:rPr>
          <w:rFonts w:hint="eastAsia" w:ascii="宋体" w:hAnsi="宋体" w:eastAsia="宋体" w:cs="宋体"/>
          <w:highlight w:val="none"/>
          <w:lang w:val="en-US" w:eastAsia="zh-CN"/>
        </w:rPr>
        <w:t>对于A2级别接口中的资金交易服务，用户登录身份认证应至少使用双因子认证方式来保护账户财产安全。</w:t>
      </w:r>
    </w:p>
    <w:p>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lang w:val="en-US" w:eastAsia="zh-CN"/>
        </w:rPr>
        <w:t>——</w:t>
      </w:r>
      <w:r>
        <w:rPr>
          <w:rFonts w:hint="eastAsia" w:ascii="宋体" w:hAnsi="宋体" w:eastAsia="宋体" w:cs="宋体"/>
          <w:highlight w:val="none"/>
          <w:lang w:val="en-US" w:eastAsia="zh-CN"/>
        </w:rPr>
        <w:t>对于应用接口接入方，身份认证为通过接入系统进行注册，获取特定的身份认证信息和密钥信息进行相关鉴权及加密通信。针对不同渠道，应分配不同的AppSecret、AppID、渠道编码。加密密钥应在符合双方约定加密规范基础上生成，使用的密码算法应符合国家密码管理部门及行业主管部门要求，在传输和存储过程中不允许出现明文密码。</w:t>
      </w:r>
    </w:p>
    <w:p>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lang w:val="en-US" w:eastAsia="zh-CN"/>
        </w:rPr>
        <w:t>——</w:t>
      </w:r>
      <w:r>
        <w:rPr>
          <w:rFonts w:hint="eastAsia" w:ascii="宋体" w:hAnsi="宋体" w:eastAsia="宋体" w:cs="宋体"/>
          <w:highlight w:val="none"/>
          <w:lang w:val="en-US" w:eastAsia="zh-CN"/>
        </w:rPr>
        <w:t>对于采用公私钥对方式认证的情况，日照银行对应用方上传的公钥进行登记。</w:t>
      </w:r>
    </w:p>
    <w:p>
      <w:pPr>
        <w:pStyle w:val="4"/>
        <w:bidi w:val="0"/>
        <w:rPr>
          <w:rFonts w:hint="default" w:ascii="Times New Roman" w:hAnsi="Times New Roman" w:cs="Times New Roman"/>
          <w:lang w:val="en-US" w:eastAsia="zh-CN"/>
        </w:rPr>
      </w:pPr>
      <w:bookmarkStart w:id="17" w:name="_Toc25910"/>
      <w:r>
        <w:rPr>
          <w:rFonts w:hint="default" w:ascii="黑体" w:hAnsi="黑体" w:eastAsia="黑体" w:cs="黑体"/>
          <w:kern w:val="44"/>
          <w:sz w:val="32"/>
          <w:szCs w:val="24"/>
          <w:lang w:val="en-US" w:eastAsia="zh-CN" w:bidi="ar-SA"/>
        </w:rPr>
        <w:t>7.4 通讯安全要求</w:t>
      </w:r>
      <w:bookmarkEnd w:id="17"/>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接口的协议类型应使用HTTPS，HTTPS请求通过POST或GET方式进行。</w:t>
      </w:r>
    </w:p>
    <w:p>
      <w:pPr>
        <w:ind w:firstLine="480"/>
        <w:rPr>
          <w:rFonts w:hint="eastAsia" w:ascii="宋体" w:hAnsi="宋体" w:eastAsia="宋体" w:cs="宋体"/>
          <w:lang w:val="en-US" w:eastAsia="zh-CN"/>
        </w:rPr>
      </w:pPr>
      <w:r>
        <w:rPr>
          <w:rFonts w:hint="eastAsia" w:ascii="宋体" w:hAnsi="宋体" w:eastAsia="宋体" w:cs="宋体"/>
          <w:lang w:val="en-US" w:eastAsia="zh-CN"/>
        </w:rPr>
        <w:t>完整的传输报文数据，应包括公共报文头和报文体：</w:t>
      </w:r>
    </w:p>
    <w:p>
      <w:pPr>
        <w:numPr>
          <w:ilvl w:val="0"/>
          <w:numId w:val="1"/>
        </w:numPr>
        <w:ind w:firstLine="480"/>
        <w:rPr>
          <w:rFonts w:hint="eastAsia" w:ascii="宋体" w:hAnsi="宋体" w:eastAsia="宋体" w:cs="宋体"/>
          <w:lang w:val="en-US" w:eastAsia="zh-CN"/>
        </w:rPr>
      </w:pPr>
      <w:r>
        <w:rPr>
          <w:rFonts w:hint="eastAsia" w:ascii="宋体" w:hAnsi="宋体" w:eastAsia="宋体" w:cs="宋体"/>
          <w:lang w:val="en-US" w:eastAsia="zh-CN"/>
        </w:rPr>
        <w:t>公共报文头：将报文常用要素，整合形成公共报文头。</w:t>
      </w:r>
    </w:p>
    <w:p>
      <w:pPr>
        <w:numPr>
          <w:ilvl w:val="0"/>
          <w:numId w:val="1"/>
        </w:numPr>
        <w:ind w:firstLine="480"/>
        <w:rPr>
          <w:rFonts w:hint="eastAsia" w:ascii="宋体" w:hAnsi="宋体" w:eastAsia="宋体" w:cs="宋体"/>
          <w:lang w:val="en-US" w:eastAsia="zh-CN"/>
        </w:rPr>
      </w:pPr>
      <w:r>
        <w:rPr>
          <w:rFonts w:hint="eastAsia" w:ascii="宋体" w:hAnsi="宋体" w:eastAsia="宋体" w:cs="宋体"/>
          <w:lang w:val="en-US" w:eastAsia="zh-CN"/>
        </w:rPr>
        <w:t>报文体：具体业务交易数据，包括请求和响应。</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公共报文头和报文体共同组成一个完整的报文，外围渠道请求前需获取请求令牌，返回信息应包含令牌信息及令牌过期时间（依据业务必须的最小时间设计有效期），请求公共报文头中需要携带有效的令牌信息。</w:t>
      </w:r>
    </w:p>
    <w:p>
      <w:pPr>
        <w:numPr>
          <w:ilvl w:val="0"/>
          <w:numId w:val="0"/>
        </w:numPr>
        <w:ind w:firstLine="480"/>
        <w:rPr>
          <w:rFonts w:hint="eastAsia" w:ascii="宋体" w:hAnsi="宋体" w:eastAsia="宋体" w:cs="宋体"/>
          <w:lang w:val="en-US" w:eastAsia="zh-CN"/>
        </w:rPr>
      </w:pPr>
      <w:r>
        <w:rPr>
          <w:rFonts w:hint="eastAsia" w:ascii="宋体" w:hAnsi="宋体" w:eastAsia="宋体" w:cs="宋体"/>
          <w:lang w:val="en-US" w:eastAsia="zh-CN"/>
        </w:rPr>
        <w:t>请求和响应公共报文参数见表1和表2</w:t>
      </w:r>
    </w:p>
    <w:p>
      <w:pPr>
        <w:numPr>
          <w:ilvl w:val="0"/>
          <w:numId w:val="0"/>
        </w:numPr>
        <w:ind w:firstLine="480"/>
        <w:jc w:val="both"/>
        <w:rPr>
          <w:rFonts w:hint="default" w:ascii="Times New Roman" w:hAnsi="Times New Roman" w:cs="Times New Roman"/>
          <w:b/>
          <w:bCs/>
          <w:lang w:val="en-US" w:eastAsia="zh-CN"/>
        </w:rPr>
      </w:pPr>
    </w:p>
    <w:p>
      <w:pPr>
        <w:numPr>
          <w:ilvl w:val="0"/>
          <w:numId w:val="0"/>
        </w:numPr>
        <w:ind w:firstLine="480"/>
        <w:jc w:val="center"/>
        <w:rPr>
          <w:rFonts w:hint="eastAsia" w:ascii="宋体" w:hAnsi="宋体" w:eastAsia="宋体" w:cs="宋体"/>
          <w:b/>
          <w:bCs/>
          <w:lang w:val="en-US" w:eastAsia="zh-CN"/>
        </w:rPr>
      </w:pPr>
      <w:r>
        <w:rPr>
          <w:rFonts w:hint="eastAsia" w:ascii="宋体" w:hAnsi="宋体" w:eastAsia="宋体" w:cs="宋体"/>
          <w:b/>
          <w:bCs/>
          <w:lang w:val="en-US" w:eastAsia="zh-CN"/>
        </w:rPr>
        <w:t>表1 请求公共报文</w:t>
      </w:r>
    </w:p>
    <w:tbl>
      <w:tblPr>
        <w:tblStyle w:val="12"/>
        <w:tblW w:w="910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528"/>
        <w:gridCol w:w="1570"/>
        <w:gridCol w:w="1160"/>
        <w:gridCol w:w="1370"/>
        <w:gridCol w:w="347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40" w:hRule="atLeast"/>
        </w:trPr>
        <w:tc>
          <w:tcPr>
            <w:tcW w:w="1528" w:type="dxa"/>
            <w:tcBorders>
              <w:bottom w:val="single" w:color="72A7BB" w:sz="4" w:space="0"/>
              <w:right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bidi="ar"/>
              </w:rPr>
              <w:t>英文名称</w:t>
            </w:r>
          </w:p>
        </w:tc>
        <w:tc>
          <w:tcPr>
            <w:tcW w:w="1570" w:type="dxa"/>
            <w:tcBorders>
              <w:left w:val="single" w:color="72A7BB" w:sz="4" w:space="0"/>
              <w:bottom w:val="single" w:color="72A7BB" w:sz="4" w:space="0"/>
              <w:right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bidi="ar"/>
              </w:rPr>
              <w:t>中文名称</w:t>
            </w:r>
          </w:p>
        </w:tc>
        <w:tc>
          <w:tcPr>
            <w:tcW w:w="1160" w:type="dxa"/>
            <w:tcBorders>
              <w:left w:val="single" w:color="72A7BB" w:sz="4" w:space="0"/>
              <w:bottom w:val="single" w:color="72A7BB" w:sz="4" w:space="0"/>
              <w:right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bidi="ar"/>
              </w:rPr>
              <w:t>数据类型</w:t>
            </w:r>
          </w:p>
        </w:tc>
        <w:tc>
          <w:tcPr>
            <w:tcW w:w="1370" w:type="dxa"/>
            <w:tcBorders>
              <w:left w:val="single" w:color="72A7BB" w:sz="4" w:space="0"/>
              <w:bottom w:val="single" w:color="72A7BB" w:sz="4" w:space="0"/>
              <w:right w:val="single" w:color="72A7BB" w:sz="4" w:space="0"/>
            </w:tcBorders>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是否可为空</w:t>
            </w:r>
          </w:p>
        </w:tc>
        <w:tc>
          <w:tcPr>
            <w:tcW w:w="3472" w:type="dxa"/>
            <w:tcBorders>
              <w:left w:val="single" w:color="72A7BB" w:sz="4" w:space="0"/>
              <w:bottom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bidi="ar"/>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40" w:hRule="atLeast"/>
        </w:trPr>
        <w:tc>
          <w:tcPr>
            <w:tcW w:w="1528" w:type="dxa"/>
            <w:tcBorders>
              <w:top w:val="single" w:color="72A7BB" w:sz="0"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timeStamp</w:t>
            </w:r>
          </w:p>
        </w:tc>
        <w:tc>
          <w:tcPr>
            <w:tcW w:w="1570" w:type="dxa"/>
            <w:tcBorders>
              <w:top w:val="single" w:color="72A7BB" w:sz="0"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时间戳</w:t>
            </w:r>
          </w:p>
        </w:tc>
        <w:tc>
          <w:tcPr>
            <w:tcW w:w="1160"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0"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c>
          <w:tcPr>
            <w:tcW w:w="3472" w:type="dxa"/>
            <w:tcBorders>
              <w:top w:val="single" w:color="72A7BB" w:sz="0"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请求时间戳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requestId</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请求标识</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c>
          <w:tcPr>
            <w:tcW w:w="3472" w:type="dxa"/>
            <w:tcBorders>
              <w:top w:val="single" w:color="72A7BB" w:sz="0"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请求ID</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txBrNo</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机构编码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c>
          <w:tcPr>
            <w:tcW w:w="3472" w:type="dxa"/>
            <w:tcBorders>
              <w:top w:val="single" w:color="72A7BB" w:sz="0"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请求机构号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chnlCode</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渠道应用编码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c>
          <w:tcPr>
            <w:tcW w:w="3472" w:type="dxa"/>
            <w:tcBorders>
              <w:top w:val="single" w:color="72A7BB" w:sz="0"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外部渠道编号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serviceCode</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服务代码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c>
          <w:tcPr>
            <w:tcW w:w="3472" w:type="dxa"/>
            <w:tcBorders>
              <w:top w:val="single" w:color="72A7BB" w:sz="0"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API</w:t>
            </w:r>
            <w:r>
              <w:rPr>
                <w:rFonts w:hint="eastAsia" w:cs="宋体"/>
                <w:color w:val="000000"/>
                <w:sz w:val="21"/>
                <w:szCs w:val="21"/>
                <w:lang w:val="en-US" w:eastAsia="zh-CN"/>
              </w:rPr>
              <w:t>唯一</w:t>
            </w:r>
            <w:r>
              <w:rPr>
                <w:rFonts w:hint="eastAsia" w:ascii="宋体" w:hAnsi="宋体" w:eastAsia="宋体" w:cs="宋体"/>
                <w:color w:val="000000"/>
                <w:sz w:val="21"/>
                <w:szCs w:val="21"/>
                <w:lang w:val="en-US" w:eastAsia="zh-CN"/>
              </w:rPr>
              <w:t>编号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svcSubCode</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服务细分编码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Y</w:t>
            </w:r>
          </w:p>
        </w:tc>
        <w:tc>
          <w:tcPr>
            <w:tcW w:w="3472" w:type="dxa"/>
            <w:tcBorders>
              <w:top w:val="single" w:color="72A7BB" w:sz="0"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默认为空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version</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服务版本</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N</w:t>
            </w:r>
          </w:p>
        </w:tc>
        <w:tc>
          <w:tcPr>
            <w:tcW w:w="3472" w:type="dxa"/>
            <w:tcBorders>
              <w:top w:val="single" w:color="72A7BB" w:sz="0"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默认</w:t>
            </w:r>
            <w:r>
              <w:rPr>
                <w:rFonts w:hint="eastAsia" w:ascii="宋体" w:hAnsi="宋体" w:eastAsia="宋体" w:cs="宋体"/>
                <w:color w:val="000000"/>
                <w:sz w:val="21"/>
                <w:szCs w:val="21"/>
                <w:lang w:val="en-US" w:eastAsia="zh-CN"/>
              </w:rPr>
              <w:t>为</w:t>
            </w:r>
            <w:r>
              <w:rPr>
                <w:rFonts w:hint="eastAsia" w:ascii="宋体" w:hAnsi="宋体" w:eastAsia="宋体" w:cs="宋体"/>
                <w:color w:val="000000"/>
                <w:sz w:val="21"/>
                <w:szCs w:val="21"/>
              </w:rPr>
              <w:t>1.0.0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access_token</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令牌</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c>
          <w:tcPr>
            <w:tcW w:w="3472" w:type="dxa"/>
            <w:tcBorders>
              <w:top w:val="single" w:color="72A7BB" w:sz="4" w:space="0"/>
              <w:left w:val="single" w:color="72A7BB" w:sz="4" w:space="0"/>
              <w:bottom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通过</w:t>
            </w:r>
            <w:r>
              <w:rPr>
                <w:rFonts w:hint="eastAsia" w:ascii="宋体" w:hAnsi="宋体" w:eastAsia="宋体" w:cs="宋体"/>
                <w:color w:val="000000"/>
                <w:sz w:val="21"/>
                <w:szCs w:val="21"/>
                <w:lang w:val="en-US" w:eastAsia="zh-CN"/>
              </w:rPr>
              <w:t>鉴权接口获取的令牌</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sign</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签名</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Y</w:t>
            </w:r>
          </w:p>
        </w:tc>
        <w:tc>
          <w:tcPr>
            <w:tcW w:w="3472" w:type="dxa"/>
            <w:tcBorders>
              <w:top w:val="single" w:color="72A7BB" w:sz="4" w:space="0"/>
              <w:left w:val="single" w:color="72A7BB" w:sz="4" w:space="0"/>
              <w:bottom w:val="single" w:color="72A7BB" w:sz="4" w:space="0"/>
            </w:tcBorders>
            <w:shd w:val="clear" w:color="auto" w:fill="FEFEFE"/>
            <w:noWrap/>
            <w:tcMar>
              <w:top w:w="15" w:type="dxa"/>
              <w:left w:w="15" w:type="dxa"/>
              <w:bottom w:w="0" w:type="dxa"/>
              <w:right w:w="15" w:type="dxa"/>
            </w:tcMa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数据签名值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encryptAlgo</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加密算法</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tcPr>
          <w:p>
            <w:pPr>
              <w:rPr>
                <w:rFonts w:hint="eastAsia" w:ascii="宋体" w:hAnsi="宋体" w:eastAsia="宋体" w:cs="宋体"/>
                <w:color w:val="000000"/>
                <w:sz w:val="21"/>
                <w:szCs w:val="21"/>
              </w:rPr>
            </w:pPr>
            <w:r>
              <w:rPr>
                <w:rFonts w:hint="eastAsia" w:ascii="宋体" w:hAnsi="宋体" w:eastAsia="宋体" w:cs="宋体"/>
                <w:color w:val="000000"/>
                <w:sz w:val="21"/>
                <w:szCs w:val="21"/>
              </w:rPr>
              <w:t>N</w:t>
            </w:r>
          </w:p>
        </w:tc>
        <w:tc>
          <w:tcPr>
            <w:tcW w:w="3472" w:type="dxa"/>
            <w:tcBorders>
              <w:top w:val="single" w:color="72A7BB" w:sz="4" w:space="0"/>
              <w:left w:val="single" w:color="72A7BB" w:sz="4" w:space="0"/>
              <w:bottom w:val="single" w:color="72A7BB" w:sz="4" w:space="0"/>
            </w:tcBorders>
            <w:shd w:val="clear" w:color="auto" w:fill="FEFEFE"/>
            <w:noWrap/>
            <w:tcMar>
              <w:top w:w="15" w:type="dxa"/>
              <w:left w:w="15" w:type="dxa"/>
              <w:bottom w:w="0" w:type="dxa"/>
              <w:right w:w="15" w:type="dxa"/>
            </w:tcMa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数据加密使用的加密算法</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encodeKey </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密钥</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tcPr>
          <w:p>
            <w:pPr>
              <w:rPr>
                <w:rFonts w:hint="eastAsia" w:ascii="宋体" w:hAnsi="宋体" w:eastAsia="宋体" w:cs="宋体"/>
                <w:color w:val="000000"/>
                <w:sz w:val="21"/>
                <w:szCs w:val="21"/>
              </w:rPr>
            </w:pPr>
            <w:r>
              <w:rPr>
                <w:rFonts w:hint="eastAsia" w:ascii="宋体" w:hAnsi="宋体" w:eastAsia="宋体" w:cs="宋体"/>
                <w:color w:val="000000"/>
                <w:sz w:val="21"/>
                <w:szCs w:val="21"/>
              </w:rPr>
              <w:t>N</w:t>
            </w:r>
          </w:p>
        </w:tc>
        <w:tc>
          <w:tcPr>
            <w:tcW w:w="3472" w:type="dxa"/>
            <w:tcBorders>
              <w:top w:val="single" w:color="72A7BB" w:sz="4" w:space="0"/>
              <w:left w:val="single" w:color="72A7BB" w:sz="4" w:space="0"/>
              <w:bottom w:val="single" w:color="72A7BB" w:sz="4" w:space="0"/>
            </w:tcBorders>
            <w:shd w:val="clear" w:color="auto" w:fill="FEFEFE"/>
            <w:noWrap/>
            <w:tcMar>
              <w:top w:w="15" w:type="dxa"/>
              <w:left w:w="15" w:type="dxa"/>
              <w:bottom w:w="0" w:type="dxa"/>
              <w:right w:w="15" w:type="dxa"/>
            </w:tcMa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用于解密数据的密钥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528" w:type="dxa"/>
            <w:tcBorders>
              <w:top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requestData</w:t>
            </w:r>
          </w:p>
        </w:tc>
        <w:tc>
          <w:tcPr>
            <w:tcW w:w="1570" w:type="dxa"/>
            <w:tcBorders>
              <w:top w:val="single" w:color="72A7BB" w:sz="4" w:space="0"/>
              <w:left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请求业务数据</w:t>
            </w:r>
          </w:p>
        </w:tc>
        <w:tc>
          <w:tcPr>
            <w:tcW w:w="1160" w:type="dxa"/>
            <w:tcBorders>
              <w:top w:val="single" w:color="72A7BB" w:sz="4" w:space="0"/>
              <w:left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70" w:type="dxa"/>
            <w:tcBorders>
              <w:top w:val="single" w:color="72A7BB" w:sz="4" w:space="0"/>
              <w:left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c>
          <w:tcPr>
            <w:tcW w:w="3472" w:type="dxa"/>
            <w:tcBorders>
              <w:top w:val="single" w:color="72A7BB" w:sz="4" w:space="0"/>
              <w:lef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数据</w:t>
            </w:r>
            <w:r>
              <w:rPr>
                <w:rFonts w:hint="eastAsia" w:ascii="宋体" w:hAnsi="宋体" w:eastAsia="宋体" w:cs="宋体"/>
                <w:color w:val="000000"/>
                <w:sz w:val="21"/>
                <w:szCs w:val="21"/>
              </w:rPr>
              <w:t>加密后的密文</w:t>
            </w:r>
          </w:p>
        </w:tc>
      </w:tr>
    </w:tbl>
    <w:p>
      <w:pPr>
        <w:numPr>
          <w:ilvl w:val="0"/>
          <w:numId w:val="0"/>
        </w:numPr>
        <w:jc w:val="center"/>
        <w:rPr>
          <w:rFonts w:hint="default" w:ascii="Times New Roman" w:hAnsi="Times New Roman" w:cs="Times New Roman"/>
          <w:lang w:val="en-US" w:eastAsia="zh-CN"/>
        </w:rPr>
      </w:pPr>
    </w:p>
    <w:p>
      <w:pPr>
        <w:numPr>
          <w:ilvl w:val="0"/>
          <w:numId w:val="0"/>
        </w:numPr>
        <w:jc w:val="center"/>
        <w:rPr>
          <w:rFonts w:hint="default" w:ascii="Times New Roman" w:hAnsi="Times New Roman" w:cs="Times New Roman"/>
          <w:b/>
          <w:bCs/>
          <w:lang w:val="en-US" w:eastAsia="zh-CN"/>
        </w:rPr>
      </w:pPr>
    </w:p>
    <w:p>
      <w:pPr>
        <w:numPr>
          <w:ilvl w:val="0"/>
          <w:numId w:val="0"/>
        </w:numPr>
        <w:jc w:val="center"/>
        <w:rPr>
          <w:rFonts w:hint="default" w:ascii="Times New Roman" w:hAnsi="Times New Roman" w:cs="Times New Roman"/>
          <w:b/>
          <w:bCs/>
          <w:lang w:val="en-US" w:eastAsia="zh-CN"/>
        </w:rPr>
      </w:pPr>
    </w:p>
    <w:p>
      <w:pPr>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表2 响应公共报文</w:t>
      </w:r>
    </w:p>
    <w:tbl>
      <w:tblPr>
        <w:tblStyle w:val="12"/>
        <w:tblW w:w="9100" w:type="dxa"/>
        <w:tblInd w:w="0" w:type="dxa"/>
        <w:tblLayout w:type="fixed"/>
        <w:tblCellMar>
          <w:top w:w="0" w:type="dxa"/>
          <w:left w:w="0" w:type="dxa"/>
          <w:bottom w:w="0" w:type="dxa"/>
          <w:right w:w="0" w:type="dxa"/>
        </w:tblCellMar>
      </w:tblPr>
      <w:tblGrid>
        <w:gridCol w:w="1528"/>
        <w:gridCol w:w="1570"/>
        <w:gridCol w:w="1160"/>
        <w:gridCol w:w="1370"/>
        <w:gridCol w:w="3472"/>
      </w:tblGrid>
      <w:tr>
        <w:tblPrEx>
          <w:tblCellMar>
            <w:top w:w="0" w:type="dxa"/>
            <w:left w:w="0" w:type="dxa"/>
            <w:bottom w:w="0" w:type="dxa"/>
            <w:right w:w="0" w:type="dxa"/>
          </w:tblCellMar>
        </w:tblPrEx>
        <w:trPr>
          <w:trHeight w:val="440" w:hRule="atLeast"/>
        </w:trPr>
        <w:tc>
          <w:tcPr>
            <w:tcW w:w="1528" w:type="dxa"/>
            <w:tcBorders>
              <w:top w:val="single" w:color="72A7BB" w:sz="0" w:space="0"/>
              <w:left w:val="single" w:color="72A7BB" w:sz="4" w:space="0"/>
              <w:bottom w:val="single" w:color="72A7BB" w:sz="4" w:space="0"/>
              <w:right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bidi="ar"/>
              </w:rPr>
              <w:t>英文名称</w:t>
            </w:r>
          </w:p>
        </w:tc>
        <w:tc>
          <w:tcPr>
            <w:tcW w:w="1570" w:type="dxa"/>
            <w:tcBorders>
              <w:top w:val="single" w:color="72A7BB" w:sz="0" w:space="0"/>
              <w:left w:val="single" w:color="72A7BB" w:sz="4" w:space="0"/>
              <w:bottom w:val="single" w:color="72A7BB" w:sz="4" w:space="0"/>
              <w:right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bidi="ar"/>
              </w:rPr>
              <w:t>中文名称</w:t>
            </w:r>
          </w:p>
        </w:tc>
        <w:tc>
          <w:tcPr>
            <w:tcW w:w="1160" w:type="dxa"/>
            <w:tcBorders>
              <w:top w:val="single" w:color="72A7BB" w:sz="0" w:space="0"/>
              <w:left w:val="single" w:color="72A7BB" w:sz="4" w:space="0"/>
              <w:bottom w:val="single" w:color="72A7BB" w:sz="4" w:space="0"/>
              <w:right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bidi="ar"/>
              </w:rPr>
              <w:t>数据类型</w:t>
            </w:r>
          </w:p>
        </w:tc>
        <w:tc>
          <w:tcPr>
            <w:tcW w:w="1370" w:type="dxa"/>
            <w:tcBorders>
              <w:top w:val="single" w:color="72A7BB" w:sz="0" w:space="0"/>
              <w:left w:val="single" w:color="72A7BB" w:sz="4" w:space="0"/>
              <w:bottom w:val="single" w:color="72A7BB" w:sz="4" w:space="0"/>
              <w:right w:val="single" w:color="72A7BB" w:sz="4" w:space="0"/>
            </w:tcBorders>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是否可为空</w:t>
            </w:r>
          </w:p>
        </w:tc>
        <w:tc>
          <w:tcPr>
            <w:tcW w:w="3472" w:type="dxa"/>
            <w:tcBorders>
              <w:top w:val="single" w:color="72A7BB" w:sz="0" w:space="0"/>
              <w:left w:val="single" w:color="72A7BB" w:sz="4" w:space="0"/>
              <w:bottom w:val="single" w:color="72A7BB" w:sz="4" w:space="0"/>
              <w:right w:val="single" w:color="72A7BB" w:sz="4" w:space="0"/>
            </w:tcBorders>
            <w:shd w:val="clear" w:color="auto" w:fill="auto"/>
            <w:noWrap/>
            <w:tcMar>
              <w:top w:w="15" w:type="dxa"/>
              <w:left w:w="15" w:type="dxa"/>
              <w:bottom w:w="0" w:type="dxa"/>
              <w:right w:w="15" w:type="dxa"/>
            </w:tcMar>
            <w:vAlign w:val="center"/>
          </w:tcPr>
          <w:p>
            <w:pPr>
              <w:widowControl/>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bidi="ar"/>
              </w:rPr>
              <w:t>备注</w:t>
            </w:r>
          </w:p>
        </w:tc>
      </w:tr>
      <w:tr>
        <w:tblPrEx>
          <w:tblCellMar>
            <w:top w:w="0" w:type="dxa"/>
            <w:left w:w="0" w:type="dxa"/>
            <w:bottom w:w="0" w:type="dxa"/>
            <w:right w:w="0" w:type="dxa"/>
          </w:tblCellMar>
        </w:tblPrEx>
        <w:trPr>
          <w:trHeight w:val="440" w:hRule="atLeast"/>
        </w:trPr>
        <w:tc>
          <w:tcPr>
            <w:tcW w:w="1528"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timeStamp</w:t>
            </w:r>
          </w:p>
        </w:tc>
        <w:tc>
          <w:tcPr>
            <w:tcW w:w="1570" w:type="dxa"/>
            <w:tcBorders>
              <w:top w:val="single" w:color="72A7BB" w:sz="0"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时间戳</w:t>
            </w:r>
          </w:p>
        </w:tc>
        <w:tc>
          <w:tcPr>
            <w:tcW w:w="1160"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0"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N</w:t>
            </w:r>
          </w:p>
        </w:tc>
        <w:tc>
          <w:tcPr>
            <w:tcW w:w="3472"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请求时间戳</w:t>
            </w:r>
          </w:p>
        </w:tc>
      </w:tr>
      <w:tr>
        <w:tblPrEx>
          <w:tblCellMar>
            <w:top w:w="0" w:type="dxa"/>
            <w:left w:w="0" w:type="dxa"/>
            <w:bottom w:w="0" w:type="dxa"/>
            <w:right w:w="0" w:type="dxa"/>
          </w:tblCellMar>
        </w:tblPrEx>
        <w:trPr>
          <w:trHeight w:val="36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requestId</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请求标识</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N</w:t>
            </w:r>
          </w:p>
        </w:tc>
        <w:tc>
          <w:tcPr>
            <w:tcW w:w="3472"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请求ID</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txBrNo</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机构编码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N</w:t>
            </w:r>
          </w:p>
        </w:tc>
        <w:tc>
          <w:tcPr>
            <w:tcW w:w="3472"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请求机构号</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chnlCode</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渠道应用编码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N</w:t>
            </w:r>
          </w:p>
        </w:tc>
        <w:tc>
          <w:tcPr>
            <w:tcW w:w="3472"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外部渠道编号</w:t>
            </w:r>
          </w:p>
        </w:tc>
      </w:tr>
      <w:tr>
        <w:tblPrEx>
          <w:tblCellMar>
            <w:top w:w="0" w:type="dxa"/>
            <w:left w:w="0" w:type="dxa"/>
            <w:bottom w:w="0" w:type="dxa"/>
            <w:right w:w="0" w:type="dxa"/>
          </w:tblCellMar>
        </w:tblPrEx>
        <w:trPr>
          <w:trHeight w:val="186"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serviceCode</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服务代码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N</w:t>
            </w:r>
          </w:p>
        </w:tc>
        <w:tc>
          <w:tcPr>
            <w:tcW w:w="3472"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API</w:t>
            </w:r>
            <w:r>
              <w:rPr>
                <w:rFonts w:hint="eastAsia" w:cs="宋体"/>
                <w:color w:val="000000"/>
                <w:lang w:val="en-US" w:eastAsia="zh-CN"/>
              </w:rPr>
              <w:t>唯一</w:t>
            </w:r>
            <w:r>
              <w:rPr>
                <w:rFonts w:hint="eastAsia" w:ascii="宋体" w:hAnsi="宋体" w:eastAsia="宋体" w:cs="宋体"/>
                <w:color w:val="000000"/>
                <w:lang w:val="en-US" w:eastAsia="zh-CN"/>
              </w:rPr>
              <w:t>编号</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svcSubCode</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服务细分编码</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Y</w:t>
            </w:r>
          </w:p>
        </w:tc>
        <w:tc>
          <w:tcPr>
            <w:tcW w:w="3472"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默认为空</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version</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服务版本</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N</w:t>
            </w:r>
          </w:p>
        </w:tc>
        <w:tc>
          <w:tcPr>
            <w:tcW w:w="3472" w:type="dxa"/>
            <w:tcBorders>
              <w:top w:val="single" w:color="72A7BB" w:sz="0"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默认</w:t>
            </w:r>
            <w:r>
              <w:rPr>
                <w:rFonts w:hint="eastAsia" w:ascii="宋体" w:hAnsi="宋体" w:eastAsia="宋体" w:cs="宋体"/>
                <w:color w:val="000000"/>
                <w:lang w:val="en-US" w:eastAsia="zh-CN"/>
              </w:rPr>
              <w:t>为</w:t>
            </w:r>
            <w:r>
              <w:rPr>
                <w:rFonts w:hint="eastAsia" w:ascii="宋体" w:hAnsi="宋体" w:eastAsia="宋体" w:cs="宋体"/>
                <w:color w:val="000000"/>
              </w:rPr>
              <w:t>1.0.0</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access_token</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令牌</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N</w:t>
            </w:r>
          </w:p>
        </w:tc>
        <w:tc>
          <w:tcPr>
            <w:tcW w:w="3472"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rPr>
              <w:t>通过</w:t>
            </w:r>
            <w:r>
              <w:rPr>
                <w:rFonts w:hint="eastAsia" w:ascii="宋体" w:hAnsi="宋体" w:eastAsia="宋体" w:cs="宋体"/>
                <w:color w:val="000000"/>
                <w:lang w:val="en-US" w:eastAsia="zh-CN"/>
              </w:rPr>
              <w:t>鉴权接口获取的令牌</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sign</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签名</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Y</w:t>
            </w:r>
          </w:p>
        </w:tc>
        <w:tc>
          <w:tcPr>
            <w:tcW w:w="3472"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数据签名值</w:t>
            </w:r>
          </w:p>
        </w:tc>
      </w:tr>
      <w:tr>
        <w:tblPrEx>
          <w:tblCellMar>
            <w:top w:w="0" w:type="dxa"/>
            <w:left w:w="0" w:type="dxa"/>
            <w:bottom w:w="0" w:type="dxa"/>
            <w:right w:w="0" w:type="dxa"/>
          </w:tblCellMar>
        </w:tblPrEx>
        <w:trPr>
          <w:trHeight w:val="9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encryptAlgo</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加密算法</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tcPr>
          <w:p>
            <w:pPr>
              <w:rPr>
                <w:rFonts w:hint="eastAsia" w:ascii="宋体" w:hAnsi="宋体" w:eastAsia="宋体" w:cs="宋体"/>
                <w:color w:val="000000"/>
              </w:rPr>
            </w:pPr>
            <w:r>
              <w:rPr>
                <w:rFonts w:hint="eastAsia" w:ascii="宋体" w:hAnsi="宋体" w:eastAsia="宋体" w:cs="宋体"/>
                <w:color w:val="000000"/>
              </w:rPr>
              <w:t>N</w:t>
            </w:r>
          </w:p>
        </w:tc>
        <w:tc>
          <w:tcPr>
            <w:tcW w:w="3472"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数据加密使用的加密算法</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 xml:space="preserve">encodeKey </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密钥</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tcPr>
          <w:p>
            <w:pPr>
              <w:rPr>
                <w:rFonts w:hint="eastAsia" w:ascii="宋体" w:hAnsi="宋体" w:eastAsia="宋体" w:cs="宋体"/>
                <w:color w:val="000000"/>
              </w:rPr>
            </w:pPr>
            <w:r>
              <w:rPr>
                <w:rFonts w:hint="eastAsia" w:ascii="宋体" w:hAnsi="宋体" w:eastAsia="宋体" w:cs="宋体"/>
                <w:color w:val="000000"/>
              </w:rPr>
              <w:t>N</w:t>
            </w:r>
          </w:p>
        </w:tc>
        <w:tc>
          <w:tcPr>
            <w:tcW w:w="3472"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tcPr>
          <w:p>
            <w:pPr>
              <w:rPr>
                <w:rFonts w:hint="eastAsia" w:ascii="宋体" w:hAnsi="宋体" w:eastAsia="宋体" w:cs="宋体"/>
                <w:color w:val="000000"/>
              </w:rPr>
            </w:pPr>
            <w:r>
              <w:rPr>
                <w:rFonts w:hint="eastAsia" w:ascii="宋体" w:hAnsi="宋体" w:eastAsia="宋体" w:cs="宋体"/>
                <w:color w:val="000000"/>
                <w:lang w:val="en-US" w:eastAsia="zh-CN"/>
              </w:rPr>
              <w:t>用于解密数据的密钥</w:t>
            </w:r>
          </w:p>
        </w:tc>
      </w:tr>
      <w:tr>
        <w:tblPrEx>
          <w:tblCellMar>
            <w:top w:w="0" w:type="dxa"/>
            <w:left w:w="0" w:type="dxa"/>
            <w:bottom w:w="0" w:type="dxa"/>
            <w:right w:w="0" w:type="dxa"/>
          </w:tblCellMar>
        </w:tblPrEx>
        <w:trPr>
          <w:trHeight w:val="300" w:hRule="atLeast"/>
        </w:trPr>
        <w:tc>
          <w:tcPr>
            <w:tcW w:w="1528"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requestData</w:t>
            </w:r>
          </w:p>
        </w:tc>
        <w:tc>
          <w:tcPr>
            <w:tcW w:w="15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lang w:val="en-US" w:eastAsia="zh-CN"/>
              </w:rPr>
              <w:t>响应</w:t>
            </w:r>
            <w:r>
              <w:rPr>
                <w:rFonts w:hint="eastAsia" w:ascii="宋体" w:hAnsi="宋体" w:eastAsia="宋体" w:cs="宋体"/>
                <w:color w:val="000000"/>
              </w:rPr>
              <w:t>业务数据</w:t>
            </w:r>
          </w:p>
        </w:tc>
        <w:tc>
          <w:tcPr>
            <w:tcW w:w="1160"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rPr>
              <w:t>String</w:t>
            </w:r>
          </w:p>
        </w:tc>
        <w:tc>
          <w:tcPr>
            <w:tcW w:w="1370" w:type="dxa"/>
            <w:tcBorders>
              <w:top w:val="single" w:color="72A7BB" w:sz="4" w:space="0"/>
              <w:left w:val="single" w:color="72A7BB" w:sz="4" w:space="0"/>
              <w:bottom w:val="single" w:color="72A7BB" w:sz="4" w:space="0"/>
              <w:right w:val="single" w:color="72A7BB" w:sz="4" w:space="0"/>
            </w:tcBorders>
            <w:shd w:val="clear" w:color="auto" w:fill="F0F0F0"/>
            <w:noWrap/>
            <w:tcMar>
              <w:top w:w="15" w:type="dxa"/>
              <w:left w:w="15" w:type="dxa"/>
              <w:bottom w:w="0" w:type="dxa"/>
              <w:right w:w="15" w:type="dxa"/>
            </w:tcMar>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N</w:t>
            </w:r>
          </w:p>
        </w:tc>
        <w:tc>
          <w:tcPr>
            <w:tcW w:w="3472" w:type="dxa"/>
            <w:tcBorders>
              <w:top w:val="single" w:color="72A7BB" w:sz="4" w:space="0"/>
              <w:left w:val="single" w:color="72A7BB" w:sz="4" w:space="0"/>
              <w:bottom w:val="single" w:color="72A7BB" w:sz="4" w:space="0"/>
              <w:right w:val="single" w:color="72A7BB" w:sz="4" w:space="0"/>
            </w:tcBorders>
            <w:shd w:val="clear" w:color="auto" w:fill="FEFEFE"/>
            <w:noWrap/>
            <w:tcMar>
              <w:top w:w="15" w:type="dxa"/>
              <w:left w:w="15" w:type="dxa"/>
              <w:bottom w:w="0" w:type="dxa"/>
              <w:right w:w="15" w:type="dxa"/>
            </w:tcMar>
            <w:vAlign w:val="center"/>
          </w:tcPr>
          <w:p>
            <w:pPr>
              <w:rPr>
                <w:rFonts w:hint="eastAsia" w:ascii="宋体" w:hAnsi="宋体" w:eastAsia="宋体" w:cs="宋体"/>
                <w:color w:val="000000"/>
              </w:rPr>
            </w:pPr>
            <w:r>
              <w:rPr>
                <w:rFonts w:hint="eastAsia" w:ascii="宋体" w:hAnsi="宋体" w:eastAsia="宋体" w:cs="宋体"/>
                <w:color w:val="000000"/>
                <w:lang w:val="en-US" w:eastAsia="zh-CN"/>
              </w:rPr>
              <w:t>数据</w:t>
            </w:r>
            <w:r>
              <w:rPr>
                <w:rFonts w:hint="eastAsia" w:ascii="宋体" w:hAnsi="宋体" w:eastAsia="宋体" w:cs="宋体"/>
                <w:color w:val="000000"/>
              </w:rPr>
              <w:t>加密后的密文</w:t>
            </w:r>
          </w:p>
        </w:tc>
      </w:tr>
    </w:tbl>
    <w:p>
      <w:pPr>
        <w:pStyle w:val="3"/>
        <w:bidi w:val="0"/>
        <w:rPr>
          <w:rFonts w:hint="default" w:ascii="黑体" w:hAnsi="黑体" w:eastAsia="黑体" w:cs="黑体"/>
          <w:kern w:val="44"/>
          <w:sz w:val="32"/>
          <w:szCs w:val="24"/>
          <w:lang w:val="en-US" w:eastAsia="zh-CN" w:bidi="ar-SA"/>
        </w:rPr>
      </w:pPr>
      <w:bookmarkStart w:id="18" w:name="_Toc21206"/>
      <w:r>
        <w:rPr>
          <w:rFonts w:hint="default" w:ascii="黑体" w:hAnsi="黑体" w:eastAsia="黑体" w:cs="黑体"/>
          <w:kern w:val="44"/>
          <w:sz w:val="32"/>
          <w:szCs w:val="24"/>
          <w:lang w:val="en-US" w:eastAsia="zh-CN" w:bidi="ar-SA"/>
        </w:rPr>
        <w:t>8.部署要求</w:t>
      </w:r>
      <w:bookmarkEnd w:id="18"/>
    </w:p>
    <w:p>
      <w:pPr>
        <w:ind w:firstLine="480"/>
        <w:rPr>
          <w:rFonts w:hint="default" w:ascii="Times New Roman" w:hAnsi="Times New Roman" w:cs="Times New Roman"/>
          <w:lang w:val="en-US" w:eastAsia="zh-CN"/>
        </w:rPr>
      </w:pPr>
      <w:r>
        <w:rPr>
          <w:rFonts w:hint="default" w:ascii="Times New Roman" w:hAnsi="Times New Roman" w:cs="Times New Roman"/>
          <w:lang w:val="en-US" w:eastAsia="zh-CN"/>
        </w:rPr>
        <w:t>应用程序接口服务层应部署流量控制、认证鉴权、报文转换、服务组合、流量监控等服务，其中认证鉴权、报文交换等服务可抽象为单独功能为业务服务提供，也可以根据需要部署在业务层。应用程序接口服务层与银行业务层之间应遵循最小权限原则，通过特定网络策略访问，并部署防火墙等具备相关访问控制、安全防护能力的防护措施。对于互联网业务，应用方服务器部署在互联网安全防护设备之后的逻辑隔离区域。</w:t>
      </w:r>
    </w:p>
    <w:p>
      <w:pPr>
        <w:pStyle w:val="4"/>
        <w:bidi w:val="0"/>
        <w:rPr>
          <w:rFonts w:hint="default" w:ascii="黑体" w:hAnsi="黑体" w:eastAsia="黑体" w:cs="黑体"/>
          <w:kern w:val="44"/>
          <w:sz w:val="32"/>
          <w:szCs w:val="24"/>
          <w:lang w:val="en-US" w:eastAsia="zh-CN" w:bidi="ar-SA"/>
        </w:rPr>
      </w:pPr>
      <w:bookmarkStart w:id="19" w:name="_Toc29087"/>
      <w:r>
        <w:rPr>
          <w:rFonts w:hint="default" w:ascii="黑体" w:hAnsi="黑体" w:eastAsia="黑体" w:cs="黑体"/>
          <w:kern w:val="44"/>
          <w:sz w:val="32"/>
          <w:szCs w:val="24"/>
          <w:lang w:val="en-US" w:eastAsia="zh-CN" w:bidi="ar-SA"/>
        </w:rPr>
        <w:t>8.1 基本功能</w:t>
      </w:r>
      <w:bookmarkEnd w:id="19"/>
    </w:p>
    <w:p>
      <w:pPr>
        <w:numPr>
          <w:ilvl w:val="0"/>
          <w:numId w:val="2"/>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接口管理</w:t>
      </w:r>
    </w:p>
    <w:p>
      <w:pPr>
        <w:numPr>
          <w:ilvl w:val="0"/>
          <w:numId w:val="0"/>
        </w:numPr>
        <w:ind w:firstLine="480"/>
        <w:rPr>
          <w:rFonts w:hint="eastAsia" w:ascii="宋体" w:hAnsi="宋体" w:eastAsia="宋体" w:cs="宋体"/>
          <w:lang w:val="en-US" w:eastAsia="zh-CN"/>
        </w:rPr>
      </w:pPr>
      <w:r>
        <w:rPr>
          <w:rFonts w:hint="eastAsia" w:ascii="宋体" w:hAnsi="宋体" w:eastAsia="宋体" w:cs="宋体"/>
          <w:lang w:val="en-US" w:eastAsia="zh-CN"/>
        </w:rPr>
        <w:t>应用接口生命周期管理及分组、接口导入导出、接口审批及上下线等。</w:t>
      </w:r>
    </w:p>
    <w:p>
      <w:pPr>
        <w:numPr>
          <w:ilvl w:val="0"/>
          <w:numId w:val="2"/>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服务监控</w:t>
      </w:r>
    </w:p>
    <w:p>
      <w:pPr>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定期同步应用服务状态，实时同步应用服务基本信息及服务当前状态等。</w:t>
      </w:r>
    </w:p>
    <w:p>
      <w:pPr>
        <w:numPr>
          <w:ilvl w:val="0"/>
          <w:numId w:val="2"/>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安全网关</w:t>
      </w:r>
    </w:p>
    <w:p>
      <w:pPr>
        <w:numPr>
          <w:ilvl w:val="0"/>
          <w:numId w:val="0"/>
        </w:numPr>
        <w:ind w:left="420" w:leftChars="200" w:firstLine="56" w:firstLineChars="27"/>
        <w:rPr>
          <w:rFonts w:hint="eastAsia" w:ascii="宋体" w:hAnsi="宋体" w:eastAsia="宋体" w:cs="宋体"/>
          <w:lang w:val="en-US" w:eastAsia="zh-CN"/>
        </w:rPr>
      </w:pPr>
      <w:r>
        <w:rPr>
          <w:rFonts w:hint="eastAsia" w:ascii="宋体" w:hAnsi="宋体" w:eastAsia="宋体" w:cs="宋体"/>
          <w:lang w:val="en-US" w:eastAsia="zh-CN"/>
        </w:rPr>
        <w:t>接口访问记录、自定义HTTP请求头部及请求体、报文加解密、流量控制、接口权限</w:t>
      </w:r>
      <w:r>
        <w:rPr>
          <w:rFonts w:hint="eastAsia" w:cs="宋体"/>
          <w:lang w:val="en-US" w:eastAsia="zh-CN"/>
        </w:rPr>
        <w:t>校</w:t>
      </w:r>
      <w:r>
        <w:rPr>
          <w:rFonts w:hint="eastAsia" w:ascii="宋体" w:hAnsi="宋体" w:eastAsia="宋体" w:cs="宋体"/>
          <w:lang w:val="en-US" w:eastAsia="zh-CN"/>
        </w:rPr>
        <w:t>验、访问路由配置及管理等。</w:t>
      </w:r>
    </w:p>
    <w:p>
      <w:pPr>
        <w:numPr>
          <w:ilvl w:val="0"/>
          <w:numId w:val="2"/>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安全验证</w:t>
      </w:r>
    </w:p>
    <w:p>
      <w:pPr>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动态密钥交换及管理，支持单向及双向加密，支持非对称及对称密钥，并使用对称密钥加密数据。支持多种加密算法，例如RSA、国密等。</w:t>
      </w:r>
    </w:p>
    <w:p>
      <w:pPr>
        <w:numPr>
          <w:ilvl w:val="0"/>
          <w:numId w:val="2"/>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接口熔断</w:t>
      </w:r>
    </w:p>
    <w:p>
      <w:pPr>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支持服务熔断，当后端服务出现故障时，快速拒绝前端请求，必要时进行服务降级。</w:t>
      </w:r>
    </w:p>
    <w:p>
      <w:pPr>
        <w:numPr>
          <w:ilvl w:val="0"/>
          <w:numId w:val="2"/>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接口统计</w:t>
      </w:r>
    </w:p>
    <w:p>
      <w:pPr>
        <w:numPr>
          <w:ilvl w:val="0"/>
          <w:numId w:val="0"/>
        </w:numPr>
        <w:ind w:leftChars="200"/>
        <w:jc w:val="left"/>
        <w:rPr>
          <w:rFonts w:hint="eastAsia" w:ascii="宋体" w:hAnsi="宋体" w:eastAsia="宋体" w:cs="宋体"/>
          <w:lang w:val="en-US" w:eastAsia="zh-CN"/>
        </w:rPr>
      </w:pPr>
      <w:r>
        <w:rPr>
          <w:rFonts w:hint="eastAsia" w:ascii="宋体" w:hAnsi="宋体" w:eastAsia="宋体" w:cs="宋体"/>
          <w:lang w:val="en-US" w:eastAsia="zh-CN"/>
        </w:rPr>
        <w:t>接口统计，支持接口总调用量、日均调用量、成功率、调用耗时以及各种时间维度的指标统计。</w:t>
      </w:r>
    </w:p>
    <w:p>
      <w:pPr>
        <w:numPr>
          <w:ilvl w:val="0"/>
          <w:numId w:val="2"/>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日志记录</w:t>
      </w:r>
    </w:p>
    <w:p>
      <w:pPr>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支持网关及服务级的日志记录，完整记录一次请求的调用过程。包括接口摘要日志、</w:t>
      </w:r>
      <w:r>
        <w:rPr>
          <w:rFonts w:hint="eastAsia" w:cs="宋体"/>
          <w:lang w:val="en-US" w:eastAsia="zh-CN"/>
        </w:rPr>
        <w:t>接</w:t>
      </w:r>
      <w:r>
        <w:rPr>
          <w:rFonts w:hint="eastAsia" w:ascii="宋体" w:hAnsi="宋体" w:eastAsia="宋体" w:cs="宋体"/>
          <w:lang w:val="en-US" w:eastAsia="zh-CN"/>
        </w:rPr>
        <w:t>口详细日志。单条日志应包含交易流水号、应用唯一标识、接口唯一标识、调用耗时、时间戳、返回结果（成功或失败）等。</w:t>
      </w:r>
    </w:p>
    <w:p>
      <w:pPr>
        <w:pStyle w:val="3"/>
        <w:numPr>
          <w:ilvl w:val="0"/>
          <w:numId w:val="0"/>
        </w:numPr>
        <w:bidi w:val="0"/>
        <w:rPr>
          <w:rFonts w:hint="default" w:ascii="黑体" w:hAnsi="黑体" w:eastAsia="黑体" w:cs="黑体"/>
          <w:kern w:val="44"/>
          <w:sz w:val="32"/>
          <w:szCs w:val="24"/>
          <w:lang w:val="en-US" w:eastAsia="zh-CN" w:bidi="ar-SA"/>
        </w:rPr>
      </w:pPr>
      <w:bookmarkStart w:id="20" w:name="_Toc32373"/>
      <w:r>
        <w:rPr>
          <w:rFonts w:hint="default" w:ascii="黑体" w:hAnsi="黑体" w:eastAsia="黑体" w:cs="黑体"/>
          <w:kern w:val="44"/>
          <w:sz w:val="32"/>
          <w:szCs w:val="24"/>
          <w:lang w:val="en-US" w:eastAsia="zh-CN" w:bidi="ar-SA"/>
        </w:rPr>
        <w:t>9.运行安全</w:t>
      </w:r>
      <w:bookmarkEnd w:id="20"/>
    </w:p>
    <w:p>
      <w:pPr>
        <w:pStyle w:val="4"/>
        <w:bidi w:val="0"/>
        <w:rPr>
          <w:rFonts w:hint="default" w:ascii="黑体" w:hAnsi="黑体" w:eastAsia="黑体" w:cs="黑体"/>
          <w:kern w:val="44"/>
          <w:sz w:val="32"/>
          <w:szCs w:val="24"/>
          <w:lang w:val="en-US" w:eastAsia="zh-CN" w:bidi="ar-SA"/>
        </w:rPr>
      </w:pPr>
      <w:bookmarkStart w:id="21" w:name="_Toc31696"/>
      <w:r>
        <w:rPr>
          <w:rFonts w:hint="default" w:ascii="黑体" w:hAnsi="黑体" w:eastAsia="黑体" w:cs="黑体"/>
          <w:kern w:val="44"/>
          <w:sz w:val="32"/>
          <w:szCs w:val="24"/>
          <w:lang w:val="en-US" w:eastAsia="zh-CN" w:bidi="ar-SA"/>
        </w:rPr>
        <w:t>9.1 用户身份认证</w:t>
      </w:r>
      <w:bookmarkEnd w:id="21"/>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用户身份的认证要求如下：</w:t>
      </w:r>
    </w:p>
    <w:p>
      <w:pPr>
        <w:rPr>
          <w:rFonts w:hint="default" w:ascii="Times New Roman" w:hAnsi="Times New Roman" w:cs="Times New Roman"/>
          <w:lang w:val="en-US" w:eastAsia="zh-CN"/>
        </w:rPr>
      </w:pPr>
      <w:r>
        <w:rPr>
          <w:rFonts w:hint="default" w:ascii="Times New Roman" w:hAnsi="Times New Roman" w:cs="Times New Roman"/>
          <w:lang w:val="en-US" w:eastAsia="zh-CN"/>
        </w:rPr>
        <w:t>　　</w:t>
      </w:r>
      <w:r>
        <w:rPr>
          <w:rFonts w:hint="default" w:ascii="宋体" w:hAnsi="宋体" w:eastAsia="宋体" w:cs="宋体"/>
          <w:lang w:val="en-US" w:eastAsia="zh-CN"/>
        </w:rPr>
        <w:t>——</w:t>
      </w:r>
      <w:r>
        <w:rPr>
          <w:rFonts w:hint="default" w:ascii="Times New Roman" w:hAnsi="Times New Roman" w:cs="Times New Roman"/>
          <w:lang w:val="en-US" w:eastAsia="zh-CN"/>
        </w:rPr>
        <w:t>用户身份认证应在商业银行完成，若用户个人金融信息或支付敏感信息确需在应用方输入，应用方不应以任何方式在本地留存相关信息。</w:t>
      </w:r>
    </w:p>
    <w:p>
      <w:pPr>
        <w:rPr>
          <w:rFonts w:hint="default" w:ascii="Times New Roman" w:hAnsi="Times New Roman" w:cs="Times New Roman"/>
          <w:lang w:val="en-US" w:eastAsia="zh-CN"/>
        </w:rPr>
      </w:pPr>
      <w:r>
        <w:rPr>
          <w:rFonts w:hint="default" w:ascii="Times New Roman" w:hAnsi="Times New Roman" w:cs="Times New Roman"/>
          <w:lang w:val="en-US" w:eastAsia="zh-CN"/>
        </w:rPr>
        <w:t>　　</w:t>
      </w:r>
      <w:r>
        <w:rPr>
          <w:rFonts w:hint="default" w:ascii="宋体" w:hAnsi="宋体" w:eastAsia="宋体" w:cs="宋体"/>
          <w:lang w:val="en-US" w:eastAsia="zh-CN"/>
        </w:rPr>
        <w:t>——</w:t>
      </w:r>
      <w:r>
        <w:rPr>
          <w:rFonts w:hint="default" w:ascii="Times New Roman" w:hAnsi="Times New Roman" w:cs="Times New Roman"/>
          <w:lang w:val="en-US" w:eastAsia="zh-CN"/>
        </w:rPr>
        <w:t>日照银行应对应用方上送的用户相关信息进行核验。</w:t>
      </w:r>
    </w:p>
    <w:p>
      <w:pPr>
        <w:rPr>
          <w:rFonts w:hint="default" w:ascii="Times New Roman" w:hAnsi="Times New Roman" w:cs="Times New Roman"/>
          <w:lang w:val="en-US" w:eastAsia="zh-CN"/>
        </w:rPr>
      </w:pPr>
      <w:r>
        <w:rPr>
          <w:rFonts w:hint="default" w:ascii="Times New Roman" w:hAnsi="Times New Roman" w:cs="Times New Roman"/>
          <w:lang w:val="en-US" w:eastAsia="zh-CN"/>
        </w:rPr>
        <w:t>　　</w:t>
      </w:r>
      <w:r>
        <w:rPr>
          <w:rFonts w:hint="default" w:ascii="宋体" w:hAnsi="宋体" w:eastAsia="宋体" w:cs="宋体"/>
          <w:lang w:val="en-US" w:eastAsia="zh-CN"/>
        </w:rPr>
        <w:t>——</w:t>
      </w:r>
      <w:r>
        <w:rPr>
          <w:rFonts w:hint="default" w:ascii="Times New Roman" w:hAnsi="Times New Roman" w:cs="Times New Roman"/>
          <w:lang w:val="en-US" w:eastAsia="zh-CN"/>
        </w:rPr>
        <w:t>应结合具体场景，依据业务必须的最小时间设计用户会话有效期，用户长期处于无业务操作时，应结束会话。</w:t>
      </w:r>
    </w:p>
    <w:p>
      <w:pPr>
        <w:pStyle w:val="4"/>
        <w:bidi w:val="0"/>
        <w:rPr>
          <w:rFonts w:hint="default" w:ascii="黑体" w:hAnsi="黑体" w:eastAsia="黑体" w:cs="黑体"/>
          <w:kern w:val="44"/>
          <w:sz w:val="32"/>
          <w:szCs w:val="24"/>
          <w:lang w:val="en-US" w:eastAsia="zh-CN" w:bidi="ar-SA"/>
        </w:rPr>
      </w:pPr>
      <w:bookmarkStart w:id="22" w:name="_Toc14810"/>
      <w:r>
        <w:rPr>
          <w:rFonts w:hint="eastAsia" w:ascii="黑体" w:hAnsi="黑体" w:eastAsia="黑体" w:cs="黑体"/>
          <w:kern w:val="44"/>
          <w:sz w:val="32"/>
          <w:szCs w:val="24"/>
          <w:lang w:val="en-US" w:eastAsia="zh-CN" w:bidi="ar-SA"/>
        </w:rPr>
        <w:t>9.2</w:t>
      </w:r>
      <w:r>
        <w:rPr>
          <w:rFonts w:hint="eastAsia" w:ascii="黑体" w:hAnsi="黑体" w:cs="黑体"/>
          <w:kern w:val="44"/>
          <w:sz w:val="32"/>
          <w:szCs w:val="24"/>
          <w:lang w:val="en-US" w:eastAsia="zh-CN" w:bidi="ar-SA"/>
        </w:rPr>
        <w:t xml:space="preserve"> </w:t>
      </w:r>
      <w:r>
        <w:rPr>
          <w:rFonts w:hint="default" w:ascii="黑体" w:hAnsi="黑体" w:eastAsia="黑体" w:cs="黑体"/>
          <w:kern w:val="44"/>
          <w:sz w:val="32"/>
          <w:szCs w:val="24"/>
          <w:lang w:val="en-US" w:eastAsia="zh-CN" w:bidi="ar-SA"/>
        </w:rPr>
        <w:t>权限控制</w:t>
      </w:r>
      <w:bookmarkEnd w:id="22"/>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应用程序接口权限控制应满足以下安全要求：</w:t>
      </w:r>
    </w:p>
    <w:p>
      <w:pPr>
        <w:rPr>
          <w:rFonts w:hint="eastAsia" w:ascii="宋体" w:hAnsi="宋体" w:eastAsia="宋体" w:cs="宋体"/>
          <w:lang w:val="en-US" w:eastAsia="zh-CN"/>
        </w:rPr>
      </w:pPr>
      <w:r>
        <w:rPr>
          <w:rFonts w:hint="eastAsia" w:ascii="宋体" w:hAnsi="宋体" w:eastAsia="宋体" w:cs="宋体"/>
          <w:lang w:val="en-US" w:eastAsia="zh-CN"/>
        </w:rPr>
        <w:t>　　——日照银行应按应用方、应用唯一标识 AppID、接口等维度，依据最小授权原则进行授权，对于未授权的资源禁止访问；</w:t>
      </w:r>
    </w:p>
    <w:p>
      <w:pPr>
        <w:rPr>
          <w:rFonts w:hint="eastAsia" w:ascii="宋体" w:hAnsi="宋体" w:eastAsia="宋体" w:cs="宋体"/>
          <w:lang w:val="en-US" w:eastAsia="zh-CN"/>
        </w:rPr>
      </w:pPr>
      <w:r>
        <w:rPr>
          <w:rFonts w:hint="eastAsia" w:ascii="宋体" w:hAnsi="宋体" w:eastAsia="宋体" w:cs="宋体"/>
          <w:lang w:val="en-US" w:eastAsia="zh-CN"/>
        </w:rPr>
        <w:t>　　——对于获取、使用、变更用户信息、账户、资金等接口，应用方调用接口时，应首先取得用户明示同意，其内容应包含授权有效期；</w:t>
      </w:r>
    </w:p>
    <w:p>
      <w:pPr>
        <w:rPr>
          <w:rFonts w:hint="eastAsia" w:ascii="宋体" w:hAnsi="宋体" w:eastAsia="宋体" w:cs="宋体"/>
          <w:lang w:val="en-US" w:eastAsia="zh-CN"/>
        </w:rPr>
      </w:pPr>
      <w:r>
        <w:rPr>
          <w:rFonts w:hint="eastAsia" w:ascii="宋体" w:hAnsi="宋体" w:eastAsia="宋体" w:cs="宋体"/>
          <w:lang w:val="en-US" w:eastAsia="zh-CN"/>
        </w:rPr>
        <w:t>　　——API接口支持对调用有效期进行控制（如单次有效、阶段性有效、协议期限内有效）。</w:t>
      </w:r>
    </w:p>
    <w:p>
      <w:pPr>
        <w:pStyle w:val="4"/>
        <w:bidi w:val="0"/>
        <w:rPr>
          <w:rFonts w:hint="default" w:ascii="黑体" w:hAnsi="黑体" w:eastAsia="黑体" w:cs="黑体"/>
          <w:kern w:val="44"/>
          <w:sz w:val="32"/>
          <w:szCs w:val="24"/>
          <w:lang w:val="en-US" w:eastAsia="zh-CN" w:bidi="ar-SA"/>
        </w:rPr>
      </w:pPr>
      <w:bookmarkStart w:id="23" w:name="_Toc14428"/>
      <w:r>
        <w:rPr>
          <w:rFonts w:hint="eastAsia" w:ascii="黑体" w:hAnsi="黑体" w:eastAsia="黑体" w:cs="黑体"/>
          <w:kern w:val="44"/>
          <w:sz w:val="32"/>
          <w:szCs w:val="24"/>
          <w:lang w:val="en-US" w:eastAsia="zh-CN" w:bidi="ar-SA"/>
        </w:rPr>
        <w:t>9.3</w:t>
      </w:r>
      <w:r>
        <w:rPr>
          <w:rFonts w:hint="eastAsia" w:ascii="黑体" w:hAnsi="黑体" w:cs="黑体"/>
          <w:kern w:val="44"/>
          <w:sz w:val="32"/>
          <w:szCs w:val="24"/>
          <w:lang w:val="en-US" w:eastAsia="zh-CN" w:bidi="ar-SA"/>
        </w:rPr>
        <w:t xml:space="preserve"> </w:t>
      </w:r>
      <w:r>
        <w:rPr>
          <w:rFonts w:hint="default" w:ascii="黑体" w:hAnsi="黑体" w:eastAsia="黑体" w:cs="黑体"/>
          <w:kern w:val="44"/>
          <w:sz w:val="32"/>
          <w:szCs w:val="24"/>
          <w:lang w:val="en-US" w:eastAsia="zh-CN" w:bidi="ar-SA"/>
        </w:rPr>
        <w:t>数据安全</w:t>
      </w:r>
      <w:bookmarkEnd w:id="23"/>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应用方在数据安全保护方面的安全要求如下：</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——数据完整性保护：应对数据完整性进行校验，并在检测到完整性错误时采取必要的恢复措施（或停止执行请求）。</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机密性保护：不应采集、存储用户个人金融信息或支付敏感信息。对于需要用户输入支付敏感信息或身份鉴别信息的场景，应用方仅可作为信息的采集与传输通道，应部署商业银行SDK、采取报文加密等措施，保证采集与传输信息的机密性与完 整性，支付敏感信息与身份鉴别信息在应用方不得留存。</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——数据抗抵赖性保护：应使用数字签名、MAC校验等技术确保A2类数据的不可抵赖性。</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——数据删除与销毁：在合作终止后，应依据与商业银行约定的方式删除（或销毁）通过商业银行应用程序接口获取的商业银行及其用户的相关数据。</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——应针对接口处理的数据，建立数据备份管理机制和应急灾备机制，并纳入机构灾备体系。在合作终止后，应依据行业主管部门有关要求，履行反洗钱、反欺诈等义务。</w:t>
      </w:r>
    </w:p>
    <w:p>
      <w:pPr>
        <w:pStyle w:val="4"/>
        <w:bidi w:val="0"/>
        <w:rPr>
          <w:rFonts w:hint="default" w:ascii="黑体" w:hAnsi="黑体" w:eastAsia="黑体" w:cs="黑体"/>
          <w:kern w:val="44"/>
          <w:sz w:val="32"/>
          <w:szCs w:val="24"/>
          <w:lang w:val="en-US" w:eastAsia="zh-CN" w:bidi="ar-SA"/>
        </w:rPr>
      </w:pPr>
      <w:bookmarkStart w:id="24" w:name="_Toc16929"/>
      <w:r>
        <w:rPr>
          <w:rFonts w:hint="eastAsia" w:ascii="黑体" w:hAnsi="黑体" w:eastAsia="黑体" w:cs="黑体"/>
          <w:kern w:val="44"/>
          <w:sz w:val="32"/>
          <w:szCs w:val="24"/>
          <w:lang w:val="en-US" w:eastAsia="zh-CN" w:bidi="ar-SA"/>
        </w:rPr>
        <w:t xml:space="preserve">9.4 </w:t>
      </w:r>
      <w:r>
        <w:rPr>
          <w:rFonts w:hint="default" w:ascii="黑体" w:hAnsi="黑体" w:eastAsia="黑体" w:cs="黑体"/>
          <w:kern w:val="44"/>
          <w:sz w:val="32"/>
          <w:szCs w:val="24"/>
          <w:lang w:val="en-US" w:eastAsia="zh-CN" w:bidi="ar-SA"/>
        </w:rPr>
        <w:t>应用方安全能力</w:t>
      </w:r>
      <w:bookmarkEnd w:id="24"/>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应用方在安全能力方面的要求如下：</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——应符合国家网络安全等级保护相应要求，进行安全设计、安全建设、安全保护。</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——应遵循日照银行的安全设计要求，使用提供的安全接口，并依据用户手册和安全规范进行集成。</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——应留存与应用程序接口集成相关的应用系统、网络设备、主机设备、安全产品日志， 日志保留期应满足国家与行业主管部门要求，日志留存应不少于 6 个月。</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——应通过技术手段与管理措施等，防止接口滥用。</w:t>
      </w:r>
    </w:p>
    <w:p>
      <w:pPr>
        <w:pStyle w:val="4"/>
        <w:bidi w:val="0"/>
        <w:rPr>
          <w:rFonts w:hint="default" w:ascii="黑体" w:hAnsi="黑体" w:eastAsia="黑体" w:cs="黑体"/>
          <w:kern w:val="44"/>
          <w:sz w:val="32"/>
          <w:szCs w:val="24"/>
          <w:lang w:val="en-US" w:eastAsia="zh-CN" w:bidi="ar-SA"/>
        </w:rPr>
      </w:pPr>
      <w:bookmarkStart w:id="25" w:name="_Toc18277"/>
      <w:r>
        <w:rPr>
          <w:rFonts w:hint="eastAsia" w:ascii="黑体" w:hAnsi="黑体" w:eastAsia="黑体" w:cs="黑体"/>
          <w:kern w:val="44"/>
          <w:sz w:val="32"/>
          <w:szCs w:val="24"/>
          <w:lang w:val="en-US" w:eastAsia="zh-CN" w:bidi="ar-SA"/>
        </w:rPr>
        <w:t xml:space="preserve">9.5 </w:t>
      </w:r>
      <w:r>
        <w:rPr>
          <w:rFonts w:hint="default" w:ascii="黑体" w:hAnsi="黑体" w:eastAsia="黑体" w:cs="黑体"/>
          <w:kern w:val="44"/>
          <w:sz w:val="32"/>
          <w:szCs w:val="24"/>
          <w:lang w:val="en-US" w:eastAsia="zh-CN" w:bidi="ar-SA"/>
        </w:rPr>
        <w:t>应用方接口集成</w:t>
      </w:r>
      <w:bookmarkEnd w:id="25"/>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应用方在接口集成方面的要求如下：</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——应用方应根据银行提供的用户手册以及授权其使用的服务类型，正确合理使用 API接口。</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——应用方密钥存储应采取加密等方式进行安全防护，防范密钥丢失或泄露，应用方应按照日照银行提供的用户手册，妥善使用和保管相关密钥、数字证书。</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——如日照银行提供封装了应用程序接口调用的SDK，则应用方需使用商业银行提供的SDK 进行API调用，应用方不得对商业银行提供的SDK进行反编译、篡改或二次封装。</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——若应用方发现日照银行应用程序接口存在安全缺陷，应采取补救措施并及时通知日照银行。应用方未经商业银行许可，不得将缺陷细节透露给任何其他第三方。</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——禁止应用方利用应用程序接口漏洞，进行网络攻击、信息窃取或交易欺诈等非法操作。</w:t>
      </w:r>
    </w:p>
    <w:p>
      <w:pPr>
        <w:pStyle w:val="4"/>
        <w:bidi w:val="0"/>
        <w:outlineLvl w:val="0"/>
        <w:rPr>
          <w:rFonts w:hint="default" w:ascii="黑体" w:hAnsi="黑体" w:eastAsia="黑体" w:cs="黑体"/>
          <w:kern w:val="44"/>
          <w:sz w:val="32"/>
          <w:szCs w:val="24"/>
          <w:lang w:val="en-US" w:eastAsia="zh-CN" w:bidi="ar-SA"/>
        </w:rPr>
      </w:pPr>
      <w:bookmarkStart w:id="26" w:name="_Toc30866"/>
      <w:r>
        <w:rPr>
          <w:rFonts w:hint="eastAsia" w:ascii="黑体" w:hAnsi="黑体" w:cs="黑体"/>
          <w:kern w:val="44"/>
          <w:sz w:val="32"/>
          <w:szCs w:val="24"/>
          <w:lang w:val="en-US" w:eastAsia="zh-CN" w:bidi="ar-SA"/>
        </w:rPr>
        <w:t>10</w:t>
      </w:r>
      <w:r>
        <w:rPr>
          <w:rFonts w:hint="eastAsia" w:ascii="黑体" w:hAnsi="黑体" w:eastAsia="黑体" w:cs="黑体"/>
          <w:kern w:val="44"/>
          <w:sz w:val="32"/>
          <w:szCs w:val="24"/>
          <w:lang w:val="en-US" w:eastAsia="zh-CN" w:bidi="ar-SA"/>
        </w:rPr>
        <w:t>.</w:t>
      </w:r>
      <w:r>
        <w:rPr>
          <w:rFonts w:hint="default" w:ascii="黑体" w:hAnsi="黑体" w:eastAsia="黑体" w:cs="黑体"/>
          <w:kern w:val="44"/>
          <w:sz w:val="32"/>
          <w:szCs w:val="24"/>
          <w:lang w:val="en-US" w:eastAsia="zh-CN" w:bidi="ar-SA"/>
        </w:rPr>
        <w:t>应用方退出</w:t>
      </w:r>
      <w:bookmarkEnd w:id="26"/>
    </w:p>
    <w:p>
      <w:pPr>
        <w:rPr>
          <w:rFonts w:hint="default" w:ascii="Times New Roman" w:hAnsi="Times New Roman" w:cs="Times New Roman"/>
          <w:lang w:val="en-US" w:eastAsia="zh-CN"/>
        </w:rPr>
      </w:pPr>
      <w:r>
        <w:rPr>
          <w:rFonts w:hint="default" w:ascii="Times New Roman" w:hAnsi="Times New Roman" w:cs="Times New Roman"/>
          <w:lang w:val="en-US" w:eastAsia="zh-CN"/>
        </w:rPr>
        <w:t>　　应用方退出时，日照银行应制定有序、可行的应用方退出机制，保障账户、资金、信息安全，充分履行用户告知义务。应用方退出后，日照银行应对认证信息进行作废处理，归档并保存待查。应用方应按照日照银行的要求，妥善处理其通过日照银行应用程序接口获取的用户信息与业务有关资料，并在双方协定的期限内承担后续的保密责任。</w:t>
      </w:r>
    </w:p>
    <w:p>
      <w:pPr>
        <w:pStyle w:val="3"/>
        <w:numPr>
          <w:ilvl w:val="0"/>
          <w:numId w:val="0"/>
        </w:numPr>
        <w:bidi w:val="0"/>
        <w:rPr>
          <w:rFonts w:hint="default" w:ascii="黑体" w:hAnsi="黑体" w:eastAsia="黑体" w:cs="黑体"/>
          <w:kern w:val="44"/>
          <w:sz w:val="32"/>
          <w:szCs w:val="24"/>
          <w:lang w:val="en-US" w:eastAsia="zh-CN" w:bidi="ar-SA"/>
        </w:rPr>
      </w:pPr>
      <w:bookmarkStart w:id="27" w:name="_Toc26642"/>
      <w:r>
        <w:rPr>
          <w:rFonts w:hint="eastAsia" w:ascii="黑体" w:hAnsi="黑体" w:cs="黑体"/>
          <w:kern w:val="44"/>
          <w:sz w:val="32"/>
          <w:szCs w:val="24"/>
          <w:lang w:val="en-US" w:eastAsia="zh-CN" w:bidi="ar-SA"/>
        </w:rPr>
        <w:t>11</w:t>
      </w:r>
      <w:r>
        <w:rPr>
          <w:rFonts w:hint="eastAsia" w:ascii="黑体" w:hAnsi="黑体" w:eastAsia="黑体" w:cs="黑体"/>
          <w:kern w:val="44"/>
          <w:sz w:val="32"/>
          <w:szCs w:val="24"/>
          <w:lang w:val="en-US" w:eastAsia="zh-CN" w:bidi="ar-SA"/>
        </w:rPr>
        <w:t>.</w:t>
      </w:r>
      <w:r>
        <w:rPr>
          <w:rFonts w:hint="default" w:ascii="黑体" w:hAnsi="黑体" w:eastAsia="黑体" w:cs="黑体"/>
          <w:kern w:val="44"/>
          <w:sz w:val="32"/>
          <w:szCs w:val="24"/>
          <w:lang w:val="en-US" w:eastAsia="zh-CN" w:bidi="ar-SA"/>
        </w:rPr>
        <w:t>服务终止与下线</w:t>
      </w:r>
      <w:bookmarkEnd w:id="27"/>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日照银行应制定完善的服务终止和系统（接口）下线的相关制度和步骤，以便各参与方有序处理相关服务：</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服务终止前，日照银行应将服务终止有关事项提前告知相关方，并向相关平台提交有关接口的统一识别码注销申请。</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日照银行应与应用方就服务终止后相关数据归档、数据删除（或销毁）、个人金融信息保护、用户资金和账户安全、消费者权益保护等问题充分达成一致，明确相关责任，并充分履行用户告知义务。</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系统（接口）下线应在相关服务确认终止之后执行，在下线之前应设置挡板（如服务终止提示信息），明示应用方服务已终止。</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日照银行在系统（接口）下线之后应将有关数据进行归档处理，数据保留期限应按照国家与行业主管部门、商业银行相关规定与规则执行。</w:t>
      </w:r>
    </w:p>
    <w:p>
      <w:pPr>
        <w:pStyle w:val="3"/>
        <w:numPr>
          <w:ilvl w:val="0"/>
          <w:numId w:val="0"/>
        </w:numPr>
        <w:bidi w:val="0"/>
        <w:rPr>
          <w:rFonts w:hint="default" w:ascii="黑体" w:hAnsi="黑体" w:eastAsia="黑体" w:cs="黑体"/>
          <w:kern w:val="44"/>
          <w:sz w:val="32"/>
          <w:szCs w:val="24"/>
          <w:lang w:val="en-US" w:eastAsia="zh-CN" w:bidi="ar-SA"/>
        </w:rPr>
      </w:pPr>
      <w:bookmarkStart w:id="28" w:name="_Toc32432"/>
      <w:r>
        <w:rPr>
          <w:rFonts w:hint="default" w:ascii="黑体" w:hAnsi="黑体" w:eastAsia="黑体" w:cs="黑体"/>
          <w:kern w:val="44"/>
          <w:sz w:val="32"/>
          <w:szCs w:val="24"/>
          <w:lang w:val="en-US" w:eastAsia="zh-CN" w:bidi="ar-SA"/>
        </w:rPr>
        <w:t>1</w:t>
      </w:r>
      <w:r>
        <w:rPr>
          <w:rFonts w:hint="eastAsia" w:ascii="黑体" w:hAnsi="黑体" w:cs="黑体"/>
          <w:kern w:val="44"/>
          <w:sz w:val="32"/>
          <w:szCs w:val="24"/>
          <w:lang w:val="en-US" w:eastAsia="zh-CN" w:bidi="ar-SA"/>
        </w:rPr>
        <w:t>2</w:t>
      </w:r>
      <w:r>
        <w:rPr>
          <w:rFonts w:hint="default" w:ascii="黑体" w:hAnsi="黑体" w:eastAsia="黑体" w:cs="黑体"/>
          <w:kern w:val="44"/>
          <w:sz w:val="32"/>
          <w:szCs w:val="24"/>
          <w:lang w:val="en-US" w:eastAsia="zh-CN" w:bidi="ar-SA"/>
        </w:rPr>
        <w:t>.安全管理</w:t>
      </w:r>
      <w:bookmarkEnd w:id="28"/>
    </w:p>
    <w:p>
      <w:pPr>
        <w:pStyle w:val="4"/>
        <w:bidi w:val="0"/>
        <w:rPr>
          <w:rFonts w:hint="default" w:ascii="黑体" w:hAnsi="黑体" w:eastAsia="黑体" w:cs="黑体"/>
          <w:kern w:val="44"/>
          <w:sz w:val="32"/>
          <w:szCs w:val="24"/>
          <w:lang w:val="en-US" w:eastAsia="zh-CN" w:bidi="ar-SA"/>
        </w:rPr>
      </w:pPr>
      <w:bookmarkStart w:id="29" w:name="_Toc233"/>
      <w:r>
        <w:rPr>
          <w:rFonts w:hint="default" w:ascii="黑体" w:hAnsi="黑体" w:eastAsia="黑体" w:cs="黑体"/>
          <w:kern w:val="44"/>
          <w:sz w:val="32"/>
          <w:szCs w:val="24"/>
          <w:lang w:val="en-US" w:eastAsia="zh-CN" w:bidi="ar-SA"/>
        </w:rPr>
        <w:t>1</w:t>
      </w:r>
      <w:r>
        <w:rPr>
          <w:rFonts w:hint="eastAsia" w:ascii="黑体" w:hAnsi="黑体" w:cs="黑体"/>
          <w:kern w:val="44"/>
          <w:sz w:val="32"/>
          <w:szCs w:val="24"/>
          <w:lang w:val="en-US" w:eastAsia="zh-CN" w:bidi="ar-SA"/>
        </w:rPr>
        <w:t>2</w:t>
      </w:r>
      <w:r>
        <w:rPr>
          <w:rFonts w:hint="default" w:ascii="黑体" w:hAnsi="黑体" w:eastAsia="黑体" w:cs="黑体"/>
          <w:kern w:val="44"/>
          <w:sz w:val="32"/>
          <w:szCs w:val="24"/>
          <w:lang w:val="en-US" w:eastAsia="zh-CN" w:bidi="ar-SA"/>
        </w:rPr>
        <w:t>.1 管理制度</w:t>
      </w:r>
      <w:bookmarkEnd w:id="29"/>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日照银行管理制度要求如下：</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应将商业银行应用程序接口的管理纳入商业银行现行管理体系中，对商业银行应用程序接口进行全生命周期的安全管理。</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应建立信息公告制度，通过官方网站等公开渠道发布其商业银行应用程序接口内容，并及时更新。</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建立覆盖商业银行应用程序接口全生命周期的应用安全管理制度与控制措施，并对管理制度与控制措施的有效性进行验证，以确保商业银行应用程序接口的一致性和连贯性，保障商业银行应用程序接口效率及安全性。</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应提供开发手册以指导应用方安全集成商业银行应用程序接口，开发手册包括但不限于安全集成要求、集成示例，以及测试环境的使用等。</w:t>
      </w:r>
    </w:p>
    <w:p>
      <w:pPr>
        <w:pStyle w:val="4"/>
        <w:bidi w:val="0"/>
        <w:rPr>
          <w:rFonts w:hint="default" w:ascii="黑体" w:hAnsi="黑体" w:eastAsia="黑体" w:cs="黑体"/>
          <w:kern w:val="44"/>
          <w:sz w:val="32"/>
          <w:szCs w:val="24"/>
          <w:lang w:val="en-US" w:eastAsia="zh-CN" w:bidi="ar-SA"/>
        </w:rPr>
      </w:pPr>
      <w:bookmarkStart w:id="30" w:name="_Toc1968"/>
      <w:r>
        <w:rPr>
          <w:rFonts w:hint="default" w:ascii="黑体" w:hAnsi="黑体" w:eastAsia="黑体" w:cs="黑体"/>
          <w:kern w:val="44"/>
          <w:sz w:val="32"/>
          <w:szCs w:val="24"/>
          <w:lang w:val="en-US" w:eastAsia="zh-CN" w:bidi="ar-SA"/>
        </w:rPr>
        <w:t>1</w:t>
      </w:r>
      <w:r>
        <w:rPr>
          <w:rFonts w:hint="eastAsia" w:ascii="黑体" w:hAnsi="黑体" w:cs="黑体"/>
          <w:kern w:val="44"/>
          <w:sz w:val="32"/>
          <w:szCs w:val="24"/>
          <w:lang w:val="en-US" w:eastAsia="zh-CN" w:bidi="ar-SA"/>
        </w:rPr>
        <w:t>2</w:t>
      </w:r>
      <w:r>
        <w:rPr>
          <w:rFonts w:hint="default" w:ascii="黑体" w:hAnsi="黑体" w:eastAsia="黑体" w:cs="黑体"/>
          <w:kern w:val="44"/>
          <w:sz w:val="32"/>
          <w:szCs w:val="24"/>
          <w:lang w:val="en-US" w:eastAsia="zh-CN" w:bidi="ar-SA"/>
        </w:rPr>
        <w:t>.2 应用安全责任</w:t>
      </w:r>
      <w:bookmarkEnd w:id="30"/>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日照银行与应用方应以合同或协议的方式，明确规定应用程序接口的信息安全与金融消费者数据保护等方面的安全责任，包括但不限于：</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用方若出于自身服务需求收集金融消费者个人金融信息，应直接获得金融消费者的明示同意，并依据最少够用原则进行信息收集，不应以使用商业银行应用程序接口为理由不履行明示同意等个人金融信息保护义务；向金融消费者说明个人信息收集方并非商业银行，也与商业银行服务无关。</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明确商业银行与应用方的信息安全责任。</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应用方不应将通过商业银行应用程序接口获得的金融服务能力与数据以任何方式转移、共享或分包给其他第三方。</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无论合作关系是否续存，应用方应依据与商业银行的协议约定，履行用户信息保密责任。</w:t>
      </w:r>
    </w:p>
    <w:p>
      <w:pPr>
        <w:pStyle w:val="4"/>
        <w:bidi w:val="0"/>
        <w:rPr>
          <w:rFonts w:hint="default" w:ascii="黑体" w:hAnsi="黑体" w:eastAsia="黑体" w:cs="黑体"/>
          <w:kern w:val="44"/>
          <w:sz w:val="32"/>
          <w:szCs w:val="24"/>
          <w:lang w:val="en-US" w:eastAsia="zh-CN" w:bidi="ar-SA"/>
        </w:rPr>
      </w:pPr>
      <w:bookmarkStart w:id="31" w:name="_Toc27632"/>
      <w:r>
        <w:rPr>
          <w:rFonts w:hint="default" w:ascii="黑体" w:hAnsi="黑体" w:eastAsia="黑体" w:cs="黑体"/>
          <w:kern w:val="44"/>
          <w:sz w:val="32"/>
          <w:szCs w:val="24"/>
          <w:lang w:val="en-US" w:eastAsia="zh-CN" w:bidi="ar-SA"/>
        </w:rPr>
        <w:t>1</w:t>
      </w:r>
      <w:r>
        <w:rPr>
          <w:rFonts w:hint="eastAsia" w:ascii="黑体" w:hAnsi="黑体" w:cs="黑体"/>
          <w:kern w:val="44"/>
          <w:sz w:val="32"/>
          <w:szCs w:val="24"/>
          <w:lang w:val="en-US" w:eastAsia="zh-CN" w:bidi="ar-SA"/>
        </w:rPr>
        <w:t>2</w:t>
      </w:r>
      <w:r>
        <w:rPr>
          <w:rFonts w:hint="default" w:ascii="黑体" w:hAnsi="黑体" w:eastAsia="黑体" w:cs="黑体"/>
          <w:kern w:val="44"/>
          <w:sz w:val="32"/>
          <w:szCs w:val="24"/>
          <w:lang w:val="en-US" w:eastAsia="zh-CN" w:bidi="ar-SA"/>
        </w:rPr>
        <w:t>.3 安全审计</w:t>
      </w:r>
      <w:bookmarkEnd w:id="31"/>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日照银行应具备以下安全审计能力：</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应完整记录商业银行应用程序接口访问日志，日志记录应至少包括交易流水号、应用唯一标识、接口唯一标识、调用耗时、时间戳、返回结果（成功或失败）等内容。</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依据商业服务需求和风险控制要求，遵循最少够用原则适当保留应用方上送报文（全部或部分信息）。</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应对日志记录进行完整性保护，确保日志不被篡改、删除、覆盖。</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应用方应具备以下安全审计能力：</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应完整记录商业银行应用程序接口访问日志，日志记录应至少包括交易流水号、应用唯一标识、接口唯一标识、调用耗时、时间戳、返回结果（成功或失败）等内容。</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应对日志记录进行完整性保护，确保日志不被篡改、删除、覆盖。</w:t>
      </w:r>
    </w:p>
    <w:p>
      <w:pPr>
        <w:ind w:firstLine="420" w:firstLineChars="200"/>
        <w:rPr>
          <w:rFonts w:hint="default" w:ascii="Times New Roman" w:hAnsi="Times New Roman" w:cs="Times New Roman"/>
          <w:lang w:val="en-US" w:eastAsia="zh-CN"/>
        </w:rPr>
      </w:pPr>
      <w:r>
        <w:rPr>
          <w:rFonts w:hint="default" w:ascii="宋体" w:hAnsi="宋体" w:eastAsia="宋体" w:cs="宋体"/>
          <w:lang w:val="en-US" w:eastAsia="zh-CN"/>
        </w:rPr>
        <w:t>——</w:t>
      </w:r>
      <w:r>
        <w:rPr>
          <w:rFonts w:hint="default" w:ascii="Times New Roman" w:hAnsi="Times New Roman" w:cs="Times New Roman"/>
          <w:lang w:val="en-US" w:eastAsia="zh-CN"/>
        </w:rPr>
        <w:t>应提供查询应用方用户应用程序接口相关登录、授权、交易等历史操作日志功能。</w:t>
      </w:r>
    </w:p>
    <w:sectPr>
      <w:headerReference r:id="rId8" w:type="default"/>
      <w:headerReference r:id="rId9" w:type="even"/>
      <w:footerReference r:id="rId10" w:type="even"/>
      <w:pgSz w:w="11906" w:h="16838"/>
      <w:pgMar w:top="1440" w:right="1800" w:bottom="1440" w:left="1800" w:header="1417" w:footer="113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default" w:eastAsia="宋体"/>
        <w:sz w:val="20"/>
        <w:lang w:val="en-US" w:eastAsia="zh-CN"/>
      </w:rPr>
    </w:pPr>
    <w:r>
      <w:rPr>
        <w:rFonts w:hint="eastAsia"/>
        <w:sz w:val="20"/>
        <w:lang w:val="en-US" w:eastAsia="zh-CN"/>
      </w:rPr>
      <w:t>Sfsdfsds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rPr>
      <w:t>Q/</w:t>
    </w:r>
    <w:r>
      <w:rPr>
        <w:rFonts w:hint="eastAsia"/>
        <w:lang w:val="en-US" w:eastAsia="zh-CN"/>
      </w:rPr>
      <w:t>BOR</w:t>
    </w:r>
    <w:r>
      <w:rPr>
        <w:rFonts w:hint="eastAsia"/>
      </w:rPr>
      <w:t xml:space="preserve"> </w:t>
    </w:r>
    <w:r>
      <w:rPr>
        <w:rFonts w:hint="eastAsia"/>
        <w:lang w:val="en-US" w:eastAsia="zh-CN"/>
      </w:rPr>
      <w:t>00010</w:t>
    </w:r>
    <w:r>
      <w:rPr>
        <w:rFonts w:hint="eastAsia"/>
      </w:rPr>
      <w:t>—</w:t>
    </w:r>
    <w:r>
      <w:rPr>
        <w:rFonts w:hint="eastAsia"/>
        <w:lang w:val="en-US" w:eastAsia="zh-CN"/>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r>
      <w:rPr>
        <w:rFonts w:hint="eastAsia"/>
      </w:rPr>
      <w:ptab w:relativeTo="margin" w:alignment="left" w:leader="none"/>
    </w:r>
    <w:r>
      <w:rPr>
        <w:rFonts w:hint="eastAsia"/>
      </w:rPr>
      <w:t>Q/</w:t>
    </w:r>
    <w:r>
      <w:rPr>
        <w:rFonts w:hint="eastAsia"/>
        <w:lang w:val="en-US" w:eastAsia="zh-CN"/>
      </w:rPr>
      <w:t>BOR</w:t>
    </w:r>
    <w:r>
      <w:rPr>
        <w:rFonts w:hint="eastAsia"/>
      </w:rPr>
      <w:t xml:space="preserve"> </w:t>
    </w:r>
    <w:r>
      <w:rPr>
        <w:rFonts w:hint="eastAsia"/>
        <w:lang w:val="en-US" w:eastAsia="zh-CN"/>
      </w:rPr>
      <w:t>0006</w:t>
    </w:r>
    <w:r>
      <w:rPr>
        <w:rFonts w:hint="eastAsia"/>
      </w:rPr>
      <w:t>—</w:t>
    </w:r>
    <w:r>
      <w:rPr>
        <w:rFonts w:hint="eastAsia"/>
        <w:lang w:val="en-US" w:eastAsia="zh-CN"/>
      </w:rPr>
      <w:t>2023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left"/>
    </w:pPr>
    <w:r>
      <w:rPr>
        <w:rFonts w:hint="eastAsia"/>
      </w:rPr>
      <w:ptab w:relativeTo="margin" w:alignment="left" w:leader="none"/>
    </w:r>
    <w:r>
      <w:rPr>
        <w:rFonts w:hint="eastAsia"/>
      </w:rPr>
      <w:t>Q/</w:t>
    </w:r>
    <w:r>
      <w:rPr>
        <w:rFonts w:hint="eastAsia"/>
        <w:lang w:val="en-US" w:eastAsia="zh-CN"/>
      </w:rPr>
      <w:t>BOR</w:t>
    </w:r>
    <w:r>
      <w:rPr>
        <w:rFonts w:hint="eastAsia"/>
      </w:rPr>
      <w:t xml:space="preserve"> </w:t>
    </w:r>
    <w:r>
      <w:rPr>
        <w:rFonts w:hint="eastAsia"/>
        <w:lang w:val="en-US" w:eastAsia="zh-CN"/>
      </w:rPr>
      <w:t>0006</w:t>
    </w:r>
    <w:r>
      <w:rPr>
        <w:rFonts w:hint="eastAsia"/>
      </w:rPr>
      <w:t>—</w:t>
    </w:r>
    <w:r>
      <w:rPr>
        <w:rFonts w:hint="eastAsia"/>
        <w:lang w:val="en-US" w:eastAsia="zh-CN"/>
      </w:rPr>
      <w:t>2023</w:t>
    </w:r>
  </w:p>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3C5DB"/>
    <w:multiLevelType w:val="singleLevel"/>
    <w:tmpl w:val="BBA3C5DB"/>
    <w:lvl w:ilvl="0" w:tentative="0">
      <w:start w:val="1"/>
      <w:numFmt w:val="decimal"/>
      <w:suff w:val="nothing"/>
      <w:lvlText w:val="%1）"/>
      <w:lvlJc w:val="left"/>
    </w:lvl>
  </w:abstractNum>
  <w:abstractNum w:abstractNumId="1">
    <w:nsid w:val="453B7530"/>
    <w:multiLevelType w:val="singleLevel"/>
    <w:tmpl w:val="453B753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ZDRjZGQ1MTUzY2YzYzI1YjZiMjA2YWJhODIyMjcifQ=="/>
  </w:docVars>
  <w:rsids>
    <w:rsidRoot w:val="00000000"/>
    <w:rsid w:val="002960ED"/>
    <w:rsid w:val="01E4595F"/>
    <w:rsid w:val="03543B18"/>
    <w:rsid w:val="03763E34"/>
    <w:rsid w:val="046C2752"/>
    <w:rsid w:val="09A45698"/>
    <w:rsid w:val="0A362AD6"/>
    <w:rsid w:val="0A801C51"/>
    <w:rsid w:val="0B0A2C9F"/>
    <w:rsid w:val="12EE228B"/>
    <w:rsid w:val="15DD61BC"/>
    <w:rsid w:val="17DE237C"/>
    <w:rsid w:val="18E92CB2"/>
    <w:rsid w:val="1A7A2677"/>
    <w:rsid w:val="1D5F065A"/>
    <w:rsid w:val="1DBE1A18"/>
    <w:rsid w:val="20A676C3"/>
    <w:rsid w:val="20B57ED8"/>
    <w:rsid w:val="211C3D73"/>
    <w:rsid w:val="225302CD"/>
    <w:rsid w:val="232048EB"/>
    <w:rsid w:val="24A7672B"/>
    <w:rsid w:val="25D81159"/>
    <w:rsid w:val="26A22073"/>
    <w:rsid w:val="27711768"/>
    <w:rsid w:val="2EF40455"/>
    <w:rsid w:val="309A4933"/>
    <w:rsid w:val="315A2315"/>
    <w:rsid w:val="31A715E0"/>
    <w:rsid w:val="32D0069E"/>
    <w:rsid w:val="330767DA"/>
    <w:rsid w:val="342A695B"/>
    <w:rsid w:val="35517EB4"/>
    <w:rsid w:val="361D45DA"/>
    <w:rsid w:val="36714AE8"/>
    <w:rsid w:val="36A64AD9"/>
    <w:rsid w:val="38492F84"/>
    <w:rsid w:val="38BD717C"/>
    <w:rsid w:val="3A026B79"/>
    <w:rsid w:val="3A4D05FF"/>
    <w:rsid w:val="3B2E7797"/>
    <w:rsid w:val="3C0611A0"/>
    <w:rsid w:val="3C0E32B0"/>
    <w:rsid w:val="3D4D54D3"/>
    <w:rsid w:val="403A26F1"/>
    <w:rsid w:val="40632D97"/>
    <w:rsid w:val="41A441A8"/>
    <w:rsid w:val="438A7EE7"/>
    <w:rsid w:val="448167D9"/>
    <w:rsid w:val="45437750"/>
    <w:rsid w:val="458F3ABC"/>
    <w:rsid w:val="45F01CA9"/>
    <w:rsid w:val="461D2C19"/>
    <w:rsid w:val="488115D1"/>
    <w:rsid w:val="49AF5913"/>
    <w:rsid w:val="4AE87F9A"/>
    <w:rsid w:val="4D1C1E24"/>
    <w:rsid w:val="4EA34EA3"/>
    <w:rsid w:val="4F9042F4"/>
    <w:rsid w:val="50624B59"/>
    <w:rsid w:val="52B850CE"/>
    <w:rsid w:val="52FB42F8"/>
    <w:rsid w:val="53FA7437"/>
    <w:rsid w:val="54E94BB0"/>
    <w:rsid w:val="55D52E76"/>
    <w:rsid w:val="5604091D"/>
    <w:rsid w:val="560B0F57"/>
    <w:rsid w:val="562C56EA"/>
    <w:rsid w:val="58622D15"/>
    <w:rsid w:val="586275BC"/>
    <w:rsid w:val="588F0098"/>
    <w:rsid w:val="598B53E3"/>
    <w:rsid w:val="5AB32769"/>
    <w:rsid w:val="5AB653BE"/>
    <w:rsid w:val="5D265BFB"/>
    <w:rsid w:val="5E2D2648"/>
    <w:rsid w:val="5EE84E9E"/>
    <w:rsid w:val="5F43084F"/>
    <w:rsid w:val="5FB64F73"/>
    <w:rsid w:val="5FB87D18"/>
    <w:rsid w:val="60311281"/>
    <w:rsid w:val="6130712A"/>
    <w:rsid w:val="62FA2560"/>
    <w:rsid w:val="63691EF0"/>
    <w:rsid w:val="69E4227D"/>
    <w:rsid w:val="6A497C69"/>
    <w:rsid w:val="6A730E96"/>
    <w:rsid w:val="6B5F7B03"/>
    <w:rsid w:val="6C5C644A"/>
    <w:rsid w:val="6C893089"/>
    <w:rsid w:val="6D2734D6"/>
    <w:rsid w:val="6F6F68C5"/>
    <w:rsid w:val="6F7B35DC"/>
    <w:rsid w:val="70A9633A"/>
    <w:rsid w:val="70B2295F"/>
    <w:rsid w:val="722113EB"/>
    <w:rsid w:val="726E6152"/>
    <w:rsid w:val="732439F7"/>
    <w:rsid w:val="73DC3EB3"/>
    <w:rsid w:val="73EB57DD"/>
    <w:rsid w:val="78547024"/>
    <w:rsid w:val="789A3570"/>
    <w:rsid w:val="791B25A1"/>
    <w:rsid w:val="7A3F746B"/>
    <w:rsid w:val="7CCD5B3F"/>
    <w:rsid w:val="7CE0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jc w:val="both"/>
    </w:pPr>
    <w:rPr>
      <w:rFonts w:ascii="宋体" w:hAnsi="宋体" w:eastAsia="宋体" w:cstheme="minorBidi"/>
      <w:kern w:val="2"/>
      <w:sz w:val="21"/>
      <w:szCs w:val="24"/>
      <w:lang w:val="en-US" w:eastAsia="zh-CN" w:bidi="ar-SA"/>
    </w:rPr>
  </w:style>
  <w:style w:type="paragraph" w:styleId="3">
    <w:name w:val="heading 1"/>
    <w:basedOn w:val="1"/>
    <w:next w:val="1"/>
    <w:qFormat/>
    <w:uiPriority w:val="0"/>
    <w:pPr>
      <w:keepNext/>
      <w:keepLines/>
      <w:snapToGrid w:val="0"/>
      <w:spacing w:before="100" w:beforeLines="100" w:beforeAutospacing="0" w:after="100" w:afterLines="100" w:afterAutospacing="0" w:line="240" w:lineRule="auto"/>
      <w:outlineLvl w:val="0"/>
    </w:pPr>
    <w:rPr>
      <w:rFonts w:eastAsia="黑体"/>
      <w:kern w:val="44"/>
      <w:sz w:val="32"/>
    </w:rPr>
  </w:style>
  <w:style w:type="paragraph" w:styleId="4">
    <w:name w:val="heading 2"/>
    <w:basedOn w:val="1"/>
    <w:next w:val="1"/>
    <w:unhideWhenUsed/>
    <w:qFormat/>
    <w:uiPriority w:val="0"/>
    <w:pPr>
      <w:keepNext/>
      <w:keepLines/>
      <w:spacing w:before="100" w:beforeLines="100" w:beforeAutospacing="0" w:after="100" w:afterLines="100" w:afterAutospacing="0" w:line="240" w:lineRule="auto"/>
      <w:outlineLvl w:val="1"/>
    </w:pPr>
    <w:rPr>
      <w:rFonts w:ascii="Arial" w:hAnsi="Arial" w:eastAsia="黑体"/>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9">
    <w:name w:val="其他标准标志"/>
    <w:basedOn w:val="20"/>
    <w:qFormat/>
    <w:uiPriority w:val="0"/>
    <w:pPr>
      <w:framePr w:w="6101" w:vAnchor="page" w:hAnchor="page" w:x="4673" w:y="942"/>
    </w:pPr>
    <w:rPr>
      <w:w w:val="130"/>
    </w:rPr>
  </w:style>
  <w:style w:type="paragraph" w:customStyle="1" w:styleId="2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4">
    <w:name w:val="其他发布日期"/>
    <w:basedOn w:val="25"/>
    <w:qFormat/>
    <w:uiPriority w:val="0"/>
    <w:pPr>
      <w:framePr w:vAnchor="page" w:hAnchor="page" w:x="1419"/>
    </w:pPr>
  </w:style>
  <w:style w:type="paragraph" w:customStyle="1" w:styleId="2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6">
    <w:name w:val="其他实施日期"/>
    <w:basedOn w:val="27"/>
    <w:qFormat/>
    <w:uiPriority w:val="0"/>
  </w:style>
  <w:style w:type="paragraph" w:customStyle="1" w:styleId="27">
    <w:name w:val="实施日期"/>
    <w:basedOn w:val="25"/>
    <w:qFormat/>
    <w:uiPriority w:val="0"/>
    <w:pPr>
      <w:framePr w:vAnchor="page" w:hAnchor="page"/>
      <w:jc w:val="right"/>
    </w:pPr>
  </w:style>
  <w:style w:type="paragraph" w:customStyle="1" w:styleId="28">
    <w:name w:val="其他发布部门"/>
    <w:basedOn w:val="29"/>
    <w:qFormat/>
    <w:uiPriority w:val="0"/>
    <w:pPr>
      <w:framePr w:y="15310"/>
      <w:spacing w:line="0" w:lineRule="atLeast"/>
    </w:pPr>
    <w:rPr>
      <w:rFonts w:ascii="黑体" w:eastAsia="黑体"/>
      <w:b w:val="0"/>
    </w:rPr>
  </w:style>
  <w:style w:type="paragraph" w:customStyle="1" w:styleId="29">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发布"/>
    <w:qFormat/>
    <w:uiPriority w:val="0"/>
    <w:rPr>
      <w:rFonts w:ascii="黑体" w:eastAsia="黑体"/>
      <w:spacing w:val="85"/>
      <w:w w:val="100"/>
      <w:position w:val="3"/>
      <w:sz w:val="28"/>
      <w:szCs w:val="28"/>
    </w:rPr>
  </w:style>
  <w:style w:type="paragraph" w:customStyle="1" w:styleId="3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7340</Words>
  <Characters>8583</Characters>
  <Lines>0</Lines>
  <Paragraphs>0</Paragraphs>
  <TotalTime>9</TotalTime>
  <ScaleCrop>false</ScaleCrop>
  <LinksUpToDate>false</LinksUpToDate>
  <CharactersWithSpaces>8851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2023-06-01T02:40:00Z</dcterms:created>
  <dc:creator>zjz_9</dc:creator>
  <cp:lastModifiedBy>刘世辉</cp:lastModifiedBy>
  <dcterms:modified xsi:type="dcterms:W3CDTF">2023-08-31T02:00:25Z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69F1A4BB1B0B42D482C467D01D413361_13</vt:lpwstr>
  </property>
</Properties>
</file>